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b3686be65644b5" /></Relationships>
</file>

<file path=word/document.xml><?xml version="1.0" encoding="utf-8"?>
<w:document xmlns:w="http://schemas.openxmlformats.org/wordprocessingml/2006/main">
  <w:body>
    <w:p>
      <w:pPr>
        <w:jc w:val="left"/>
      </w:pPr>
      <w:r>
        <w:rPr>
          <w:u w:val="single"/>
        </w:rPr>
        <w:t>HOUSE RESOLUTION NO. 2021-4633</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and locations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2021 Regular Session of the Sixty-Seventh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execute personal services contracts relating to workplace investigations, and with approval of the Executive Rules Committee, may execute other types of personal services 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Sixty-Seventh Legislature, as well as any committee assembly.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4633 adopted by the House of Representatives</w:t>
      </w:r>
    </w:p>
    <w:p>
      <w:pPr>
        <w:spacing w:before="0" w:after="0" w:line="240" w:lineRule="exact"/>
        <w:ind w:left="0" w:right="0" w:firstLine="0"/>
        <w:jc w:val="center"/>
      </w:pPr>
      <w:r>
        <w:rPr/>
        <w:t xml:space="preserve">June 9,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31bf1e5e44a26" /></Relationships>
</file>