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24bc89037b4c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1725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1725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Public Safety (originally sponsored by Representatives Lekanoff, Goodman, Berry, Taylor, Valdez, Bateman, Macri, Peterson, Ramel, Simmons, Orwall, Chopp, Stonier, Harris-Talley, and Frame; by request of Attorney General)</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endangered missing person advisory designation for missing indigenous persons; amending RCW 13.60.010;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indigenous people experience disproportionate rates of violence in Washington state. Tribes, state leaders, and grassroots activists have done substantial work to identify factors directly affecting the rates of violence and to ensure that addressing the crisis of missing and murdered indigenous people is a priority at every level. The legislature intends to provide law enforcement with additional tools to disseminate timely, accurate information to engage the public more effectively in assisting with locating missing indigenous people, and to compensate for the unique challenges that indigenous communities face accessing media coverage and the ability to share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2017 3rd sp.s. c 6 s 315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children, youth, and families,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w:t>
      </w:r>
      <w:r>
        <w:t>((</w:t>
      </w:r>
      <w:r>
        <w:rPr>
          <w:strike/>
        </w:rPr>
        <w:t xml:space="preserve">a</w:t>
      </w:r>
      <w:r>
        <w:t>))</w:t>
      </w:r>
      <w:r>
        <w:rPr/>
        <w:t xml:space="preserve"> "silver alert" </w:t>
      </w:r>
      <w:r>
        <w:t>((</w:t>
      </w:r>
      <w:r>
        <w:rPr>
          <w:strike/>
        </w:rPr>
        <w:t xml:space="preserve">designation</w:t>
      </w:r>
      <w:r>
        <w:t>))</w:t>
      </w:r>
      <w:r>
        <w:rPr/>
        <w:t xml:space="preserve"> </w:t>
      </w:r>
      <w:r>
        <w:rPr>
          <w:u w:val="single"/>
        </w:rPr>
        <w:t xml:space="preserve">and "missing indigenous person alert" designations</w:t>
      </w:r>
      <w:r>
        <w:rPr/>
        <w:t xml:space="preserve">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(b) "Missing endangered person"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 missing indigenous woman or indigenous person; or</w:t>
      </w:r>
    </w:p>
    <w:p>
      <w:pPr>
        <w:spacing w:before="0" w:after="0" w:line="408" w:lineRule="exact"/>
        <w:ind w:left="0" w:right="0" w:firstLine="576"/>
        <w:jc w:val="left"/>
      </w:pPr>
      <w:r>
        <w:rPr>
          <w:u w:val="single"/>
        </w:rPr>
        <w:t xml:space="preserve">(ii) A</w:t>
      </w:r>
      <w:r>
        <w:rPr/>
        <w:t xml:space="preserve">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with a developmental disability as defined in RCW 71A.10.020(5);</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vulnerable adult as defined in RCW 74.34.020;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person who has been diagnosed as having Alzheimer's disease or other age-related dementia.</w:t>
      </w:r>
    </w:p>
    <w:p>
      <w:pPr>
        <w:spacing w:before="0" w:after="0" w:line="408" w:lineRule="exact"/>
        <w:ind w:left="0" w:right="0" w:firstLine="576"/>
        <w:jc w:val="left"/>
      </w:pPr>
      <w:r>
        <w:rPr/>
        <w:t xml:space="preserve">(c) </w:t>
      </w:r>
      <w:r>
        <w:rPr>
          <w:u w:val="single"/>
        </w:rPr>
        <w:t xml:space="preserve">"Missing indigenous person alert" means the designated title of a missing endangered person advisory that will be used on a variable message sign and text of the highway advisory radio message when used as part of an activated advisory to assist in the recovery of a missing indigenous person.</w:t>
      </w:r>
    </w:p>
    <w:p>
      <w:pPr>
        <w:spacing w:before="0" w:after="0" w:line="408" w:lineRule="exact"/>
        <w:ind w:left="0" w:right="0" w:firstLine="576"/>
        <w:jc w:val="left"/>
      </w:pPr>
      <w:r>
        <w:rPr>
          <w:u w:val="single"/>
        </w:rPr>
        <w:t xml:space="preserve">(d)</w:t>
      </w:r>
      <w:r>
        <w:rPr/>
        <w:t xml:space="preserve"> "Silver alert" means the designated title of a missing endangered person advisory that will be used on a variable message sign and text of the highway advisory radio message when used as part of an activated advisory to assist in the recovery of a missing endangered person age </w:t>
      </w:r>
      <w:r>
        <w:t>((</w:t>
      </w:r>
      <w:r>
        <w:rPr>
          <w:strike/>
        </w:rPr>
        <w:t xml:space="preserve">sixty</w:t>
      </w:r>
      <w:r>
        <w:t>))</w:t>
      </w:r>
      <w:r>
        <w:rPr/>
        <w:t xml:space="preserve"> </w:t>
      </w:r>
      <w:r>
        <w:rPr>
          <w:u w:val="single"/>
        </w:rPr>
        <w:t xml:space="preserve">60</w:t>
      </w:r>
      <w:r>
        <w:rPr/>
        <w:t xml:space="preserve"> or older.</w:t>
      </w:r>
    </w:p>
    <w:p/>
    <w:p>
      <w:pPr>
        <w:jc w:val="center"/>
      </w:pPr>
      <w:r>
        <w:rPr>
          <w:b/>
        </w:rPr>
        <w:t>--- END ---</w:t>
      </w:r>
    </w:p>
    <w:sectPr>
      <w:pgNumType w:start="1"/>
      <w:footerReference xmlns:r="http://schemas.openxmlformats.org/officeDocument/2006/relationships" r:id="Rdb532b11601446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a01183ab5f41a0" /><Relationship Type="http://schemas.openxmlformats.org/officeDocument/2006/relationships/footer" Target="/word/footer1.xml" Id="Rdb532b116014466b" /></Relationships>
</file>