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0b231a8af14b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1525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1525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Walen, Hansen, Simmons, and Slatter</w:t>
      </w:r>
    </w:p>
    <w:p/>
    <w:p>
      <w:r>
        <w:rPr>
          <w:t xml:space="preserve">Read first time 02/11/21.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judgments; amending RCW 6.15.010 and 6.27.100;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previously recognized that garnishees have no responsibility for the situation leading to the garnishment of a debtor's wages, funds, or other property, but that the garnishment process is necessary for the enforcement of obligations. The legislature has further recognized the importance of reducing or offsetting the administrative burden on the garnishee to the extent that that can be accomplished consistent with the goal of effectively enforcing debtors' unpaid obligations. At the same time, debtors must be afforded the exemptions to which they are statutorily entitled and protected from garnishments that violate Washington law.</w:t>
      </w:r>
    </w:p>
    <w:p>
      <w:pPr>
        <w:spacing w:before="0" w:after="0" w:line="408" w:lineRule="exact"/>
        <w:ind w:left="0" w:right="0" w:firstLine="576"/>
        <w:jc w:val="left"/>
      </w:pPr>
      <w:r>
        <w:rPr/>
        <w:t xml:space="preserve">By establishing automatic exemption amounts and specifying when and how much a garnishee bank is required to hold and release, the legislature intends to ease the burden on garnishees while protecting debtors from situations in which the entirety of their bank accounts are frozen before they have any opportunity to assert certain rightful exemptions.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2019 c 371 s 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For all debts except private student loan debt and consumer debt, five hundred dollars in value may consist of bank accounts, savings and loan accounts, stocks, bonds, or other securities. The maximum exemption under this subsection (1)(d)(ii)(A) </w:t>
      </w:r>
      <w:r>
        <w:rPr>
          <w:u w:val="single"/>
        </w:rPr>
        <w:t xml:space="preserve">shall be automatically protected and</w:t>
      </w:r>
      <w:r>
        <w:rPr/>
        <w:t xml:space="preserve">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two thousand five hundred dollars in value may consist of bank accounts, savings and loan accounts, stocks, bonds, or other securities. </w:t>
      </w:r>
      <w:r>
        <w:rPr>
          <w:u w:val="single"/>
        </w:rPr>
        <w:t xml:space="preserve">$1,000 in value shall be automatically protected.</w:t>
      </w:r>
      <w:r>
        <w:rPr/>
        <w:t xml:space="preserve"> The maximum exemption under this subsection (1)(d)(ii)(B) may not exceed two thousand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two thousand dollars in value may consist of bank accounts, savings and loan accounts, stocks, bonds, or other securities. </w:t>
      </w:r>
      <w:r>
        <w:rPr>
          <w:u w:val="single"/>
        </w:rPr>
        <w:t xml:space="preserve">$1,000 in value shall be automatically protected.</w:t>
      </w:r>
      <w:r>
        <w:rPr/>
        <w:t xml:space="preserve"> The maximum exemption under this subsection (1)(d)(ii)(C) may not exceed two thousand dollars, regardless of the number of existing separate bank accounts, savings and loan accounts, stocks, bonds, or other securities;</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(1)(d)(vi)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2019 c 371 s 4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w:t>
      </w:r>
    </w:p>
    <w:p>
      <w:pPr>
        <w:spacing w:before="0" w:after="0" w:line="408" w:lineRule="exact"/>
        <w:ind w:left="0" w:right="0" w:firstLine="576"/>
        <w:jc w:val="left"/>
      </w:pPr>
      <w:r>
        <w:rPr/>
        <w:t xml:space="preserve">(c) 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rPr/>
        <w:t xml:space="preserve">(d)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8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  </w:t>
            </w:r>
            <w:r>
              <w:tab/>
            </w:r>
          </w:p>
        </w:tc>
      </w:tr>
      <w:tr>
        <w:tc>
          <w:tcPr>
            <w:gridSpan w:val="5"/>
            <w:tcW w:w="2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  </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9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u w:val="single"/>
        </w:rPr>
        <w:t xml:space="preserve">FOR ALL DEBTS EXCEPT PRIVATE STUDENT LOAN DEBT AND CONSUMER DEBT: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6.15.010(1)(d)(ii)(A) applies and the total of the amounts held in all of the defendant's accounts is less than or equal to $500, release all funds or property to the defendant and do not hold any amount.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6.15.010(1)(d)(ii)(A) applies and the total of the amounts held in all of the defendant's accounts is in excess of $500, release at least $500,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u w:val="single"/>
        </w:rPr>
        <w:t xml:space="preserve">FOR PRIVATE STUDENT LOAN DEBT AND CONSUMER DEBT: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 (B) or (C) applies and the total of the amounts held in all of the defendant's accounts is less than or equal to $1,000, release all funds or property to the defendant and do not hold any amount.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 (B) or (C) applies and the total of the amounts held in all of the defendant's accounts is in excess of $1,000, release at least $1,000,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2025.</w:t>
      </w:r>
    </w:p>
    <w:p/>
    <w:p>
      <w:pPr>
        <w:jc w:val="center"/>
      </w:pPr>
      <w:r>
        <w:rPr>
          <w:b/>
        </w:rPr>
        <w:t>--- END ---</w:t>
      </w:r>
    </w:p>
    <w:sectPr>
      <w:pgNumType w:start="1"/>
      <w:footerReference xmlns:r="http://schemas.openxmlformats.org/officeDocument/2006/relationships" r:id="Rf2d708807eac42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1aad26cb3442d1" /><Relationship Type="http://schemas.openxmlformats.org/officeDocument/2006/relationships/footer" Target="/word/footer1.xml" Id="Rf2d708807eac42ee" /></Relationships>
</file>