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691b6c1a864e4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1296</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9, 2021</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2021</w:t>
            </w:r>
          </w:p>
          <w:p>
            <w:pPr>
              <w:ind w:left="0" w:right="0" w:firstLine="360"/>
            </w:pPr>
            <w:r>
              <w:t xml:space="preserve">Yeas </w:t>
              <w:t xml:space="preserve">47</w:t>
            </w:r>
            <w:r>
              <w:t xml:space="preserve">  Nays </w:t>
              <w:t xml:space="preserve">2</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1296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1296</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Representatives Young, Thai, Robertson, and Rule</w:t>
      </w:r>
    </w:p>
    <w:p/>
    <w:p>
      <w:r>
        <w:rPr>
          <w:t xml:space="preserve">Read first time 01/19/21.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business and occupation tax preference for behavioral health administrative services organizations; adding a new section to chapter 82.04 RCW; creating new sections;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COVID-19 has had significant impacts on behavioral health. The legislature previously had a feature of its tax system that exempted government-funded behavioral health services from paying business and occupation tax in order for more tax dollars to be utilized in providing health services. The legislature intends to reenact that preference in light of increased behavioral health needs for the foreseeable future, and in recognition that treatment reduces costs to the government in other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3, chapter . . ., Laws of 2021 (section 3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accomplish a general purpose, reducing taxes so more money can go directly to behavioral health services, as indicated in RCW 82.32.808(2)(f).</w:t>
      </w:r>
    </w:p>
    <w:p>
      <w:pPr>
        <w:spacing w:before="0" w:after="0" w:line="408" w:lineRule="exact"/>
        <w:ind w:left="0" w:right="0" w:firstLine="576"/>
        <w:jc w:val="left"/>
      </w:pPr>
      <w:r>
        <w:rPr/>
        <w:t xml:space="preserve">(3) It is the legislature's specific public policy objective to support behavioral health services that can prevent more serious and costly health issues.</w:t>
      </w:r>
    </w:p>
    <w:p>
      <w:pPr>
        <w:spacing w:before="0" w:after="0" w:line="408" w:lineRule="exact"/>
        <w:ind w:left="0" w:right="0" w:firstLine="576"/>
        <w:jc w:val="left"/>
      </w:pPr>
      <w:r>
        <w:rPr/>
        <w:t xml:space="preserve">(4) If a review finds that the amount of funding available for behavioral health services by these taxpayers increased, then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health or social welfare organization may deduct from the measure of tax amounts received as compensation for providing mental health services or substance use disorder treatment services under a government-funded program.</w:t>
      </w:r>
    </w:p>
    <w:p>
      <w:pPr>
        <w:spacing w:before="0" w:after="0" w:line="408" w:lineRule="exact"/>
        <w:ind w:left="0" w:right="0" w:firstLine="576"/>
        <w:jc w:val="left"/>
      </w:pPr>
      <w:r>
        <w:rPr/>
        <w:t xml:space="preserve">(2) A behavioral health administrative services organization may deduct from the measure of tax amounts received from the state of Washington for distribution to a health or social welfare organization that is eligible to deduct the distribution under subsection (1) of this section.</w:t>
      </w:r>
    </w:p>
    <w:p>
      <w:pPr>
        <w:spacing w:before="0" w:after="0" w:line="408" w:lineRule="exact"/>
        <w:ind w:left="0" w:right="0" w:firstLine="576"/>
        <w:jc w:val="left"/>
      </w:pPr>
      <w:r>
        <w:rPr/>
        <w:t xml:space="preserve">(3) A person claiming a deduction under this section must file a complete annual tax performance report with the department under RCW 82.32.534.</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"Behavioral health administrative services organization" has the same meaning as provided in RCW 71.24.025.</w:t>
      </w:r>
    </w:p>
    <w:p>
      <w:pPr>
        <w:spacing w:before="0" w:after="0" w:line="408" w:lineRule="exact"/>
        <w:ind w:left="0" w:right="0" w:firstLine="576"/>
        <w:jc w:val="left"/>
      </w:pPr>
      <w:r>
        <w:rPr/>
        <w:t xml:space="preserve">(b) "Health or social welfare organization" has the same meaning as provided in RCW 82.04.431.</w:t>
      </w:r>
    </w:p>
    <w:p>
      <w:pPr>
        <w:spacing w:before="0" w:after="0" w:line="408" w:lineRule="exact"/>
        <w:ind w:left="0" w:right="0" w:firstLine="576"/>
        <w:jc w:val="left"/>
      </w:pPr>
      <w:r>
        <w:rPr/>
        <w:t xml:space="preserve">(c) "Mental health services" means mental health services as described in chapter 71.24 RCW.</w:t>
      </w:r>
    </w:p>
    <w:p>
      <w:pPr>
        <w:spacing w:before="0" w:after="0" w:line="408" w:lineRule="exact"/>
        <w:ind w:left="0" w:right="0" w:firstLine="576"/>
        <w:jc w:val="left"/>
      </w:pPr>
      <w:r>
        <w:rPr/>
        <w:t xml:space="preserve">(d) "Substance use disorder treatment services" means substance use disorder treatment services as described in chapter 71.24 RCW.</w:t>
      </w:r>
    </w:p>
    <w:p>
      <w:pPr>
        <w:spacing w:before="0" w:after="0" w:line="408" w:lineRule="exact"/>
        <w:ind w:left="0" w:right="0" w:firstLine="576"/>
        <w:jc w:val="left"/>
      </w:pPr>
      <w:r>
        <w:rPr/>
        <w:t xml:space="preserve">(5) This section expires January 1, 2032.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65853d4e12c4f0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1296.PL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bca4a76a844d5f" /><Relationship Type="http://schemas.openxmlformats.org/officeDocument/2006/relationships/footer" Target="/word/footer1.xml" Id="Rd65853d4e12c4f03" /></Relationships>
</file>