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aa74fa75f4b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Public Safety (originally sponsored by Representatives Orwall, Mosbrucker, Simmons, Goodman, Leavitt, Valdez, Kloba, Graham, Morgan, Caldier, Rule, and Macri)</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5.70.005, 43.101.278, and 70.125.110; adding a new section to chapter 5.70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70</w:t>
      </w:r>
      <w:r>
        <w:rPr/>
        <w:t xml:space="preserve">.</w:t>
      </w:r>
      <w:r>
        <w:t xml:space="preserve">005</w:t>
      </w:r>
      <w:r>
        <w:rPr/>
        <w:t xml:space="preserve"> and 2020 c 26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"Amplified DNA" means DNA generated during scientific analysis using a polymerase chain reaction.</w:t>
      </w:r>
    </w:p>
    <w:p>
      <w:pPr>
        <w:spacing w:before="0" w:after="0" w:line="408" w:lineRule="exact"/>
        <w:ind w:left="0" w:right="0" w:firstLine="576"/>
        <w:jc w:val="left"/>
      </w:pPr>
      <w:r>
        <w:rPr/>
        <w:t xml:space="preserve">(2) </w:t>
      </w:r>
      <w:r>
        <w:rPr>
          <w:u w:val="single"/>
        </w:rPr>
        <w:t xml:space="preserve">"Association" means the Washington association of sheriffs and police chiefs.</w:t>
      </w:r>
    </w:p>
    <w:p>
      <w:pPr>
        <w:spacing w:before="0" w:after="0" w:line="408" w:lineRule="exact"/>
        <w:ind w:left="0" w:right="0" w:firstLine="576"/>
        <w:jc w:val="left"/>
      </w:pPr>
      <w:r>
        <w:rPr>
          <w:u w:val="single"/>
        </w:rPr>
        <w:t xml:space="preserve">(3)</w:t>
      </w:r>
      <w:r>
        <w:rPr/>
        <w:t xml:space="preserve"> "DNA work product" means (a) product generated during the process of scientific analysis of such material, except amplified DNA, material that had been subjected to DNA extraction, screening by-products, and DNA extracts from reference samples; or (b) any material contained on a microscope slide, swab, in a sample tube, cutting, DNA extract, or some other similar retention method used to isolate potential biological evidence that has been collected by law enforcement or a forensic nurse as part of an investigation and prepared for scientific analysis, whether or not it is submitted for scientific analysis and derived from:</w:t>
      </w:r>
    </w:p>
    <w:p>
      <w:pPr>
        <w:spacing w:before="0" w:after="0" w:line="408" w:lineRule="exact"/>
        <w:ind w:left="0" w:right="0" w:firstLine="576"/>
        <w:jc w:val="left"/>
      </w:pPr>
      <w:r>
        <w:rPr/>
        <w:t xml:space="preserve">(i) The contents of a sexual assault examination kit;</w:t>
      </w:r>
    </w:p>
    <w:p>
      <w:pPr>
        <w:spacing w:before="0" w:after="0" w:line="408" w:lineRule="exact"/>
        <w:ind w:left="0" w:right="0" w:firstLine="576"/>
        <w:jc w:val="left"/>
      </w:pPr>
      <w:r>
        <w:rPr/>
        <w:t xml:space="preserve">(ii) Blood;</w:t>
      </w:r>
    </w:p>
    <w:p>
      <w:pPr>
        <w:spacing w:before="0" w:after="0" w:line="408" w:lineRule="exact"/>
        <w:ind w:left="0" w:right="0" w:firstLine="576"/>
        <w:jc w:val="left"/>
      </w:pPr>
      <w:r>
        <w:rPr/>
        <w:t xml:space="preserve">(iii) Semen;</w:t>
      </w:r>
    </w:p>
    <w:p>
      <w:pPr>
        <w:spacing w:before="0" w:after="0" w:line="408" w:lineRule="exact"/>
        <w:ind w:left="0" w:right="0" w:firstLine="576"/>
        <w:jc w:val="left"/>
      </w:pPr>
      <w:r>
        <w:rPr/>
        <w:t xml:space="preserve">(iv) Hair;</w:t>
      </w:r>
    </w:p>
    <w:p>
      <w:pPr>
        <w:spacing w:before="0" w:after="0" w:line="408" w:lineRule="exact"/>
        <w:ind w:left="0" w:right="0" w:firstLine="576"/>
        <w:jc w:val="left"/>
      </w:pPr>
      <w:r>
        <w:rPr/>
        <w:t xml:space="preserve">(v) Saliva;</w:t>
      </w:r>
    </w:p>
    <w:p>
      <w:pPr>
        <w:spacing w:before="0" w:after="0" w:line="408" w:lineRule="exact"/>
        <w:ind w:left="0" w:right="0" w:firstLine="576"/>
        <w:jc w:val="left"/>
      </w:pPr>
      <w:r>
        <w:rPr/>
        <w:t xml:space="preserve">(vi) Skin tissue;</w:t>
      </w:r>
    </w:p>
    <w:p>
      <w:pPr>
        <w:spacing w:before="0" w:after="0" w:line="408" w:lineRule="exact"/>
        <w:ind w:left="0" w:right="0" w:firstLine="576"/>
        <w:jc w:val="left"/>
      </w:pPr>
      <w:r>
        <w:rPr/>
        <w:t xml:space="preserve">(vii) Fingerprints;</w:t>
      </w:r>
    </w:p>
    <w:p>
      <w:pPr>
        <w:spacing w:before="0" w:after="0" w:line="408" w:lineRule="exact"/>
        <w:ind w:left="0" w:right="0" w:firstLine="576"/>
        <w:jc w:val="left"/>
      </w:pPr>
      <w:r>
        <w:rPr/>
        <w:t xml:space="preserve">(viii) Bones;</w:t>
      </w:r>
    </w:p>
    <w:p>
      <w:pPr>
        <w:spacing w:before="0" w:after="0" w:line="408" w:lineRule="exact"/>
        <w:ind w:left="0" w:right="0" w:firstLine="576"/>
        <w:jc w:val="left"/>
      </w:pPr>
      <w:r>
        <w:rPr/>
        <w:t xml:space="preserve">(ix) Teeth; or</w:t>
      </w:r>
    </w:p>
    <w:p>
      <w:pPr>
        <w:spacing w:before="0" w:after="0" w:line="408" w:lineRule="exact"/>
        <w:ind w:left="0" w:right="0" w:firstLine="576"/>
        <w:jc w:val="left"/>
      </w:pPr>
      <w:r>
        <w:rPr/>
        <w:t xml:space="preserve">(x) Any other identifiable human biological material or physical evidence.</w:t>
      </w:r>
    </w:p>
    <w:p>
      <w:pPr>
        <w:spacing w:before="0" w:after="0" w:line="408" w:lineRule="exact"/>
        <w:ind w:left="0" w:right="0" w:firstLine="576"/>
        <w:jc w:val="left"/>
      </w:pPr>
      <w:r>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t>((</w:t>
      </w:r>
      <w:r>
        <w:rPr>
          <w:strike/>
        </w:rPr>
        <w:t xml:space="preserve">(4)</w:t>
      </w:r>
      <w:r>
        <w:t>))</w:t>
      </w:r>
      <w:r>
        <w:rPr/>
        <w:t xml:space="preserve"> </w:t>
      </w:r>
      <w:r>
        <w:rPr>
          <w:u w:val="single"/>
        </w:rPr>
        <w:t xml:space="preserve">(5) </w:t>
      </w:r>
      <w:r>
        <w:rPr>
          <w:u w:val="single"/>
        </w:rPr>
        <w:t xml:space="preserve">"Investigational status" means:</w:t>
      </w:r>
    </w:p>
    <w:p>
      <w:pPr>
        <w:spacing w:before="0" w:after="0" w:line="408" w:lineRule="exact"/>
        <w:ind w:left="0" w:right="0" w:firstLine="576"/>
        <w:jc w:val="left"/>
      </w:pPr>
      <w:r>
        <w:rPr>
          <w:u w:val="single"/>
        </w:rPr>
        <w:t xml:space="preserve">(a) The agency case or incident number;</w:t>
      </w:r>
    </w:p>
    <w:p>
      <w:pPr>
        <w:spacing w:before="0" w:after="0" w:line="408" w:lineRule="exact"/>
        <w:ind w:left="0" w:right="0" w:firstLine="576"/>
        <w:jc w:val="left"/>
      </w:pPr>
      <w:r>
        <w:rPr>
          <w:u w:val="single"/>
        </w:rPr>
        <w:t xml:space="preserve">(b) The date the request for forensic examination of the sexual assault kit was submitted to the Washington state patrol crime laboratory;</w:t>
      </w:r>
    </w:p>
    <w:p>
      <w:pPr>
        <w:spacing w:before="0" w:after="0" w:line="408" w:lineRule="exact"/>
        <w:ind w:left="0" w:right="0" w:firstLine="576"/>
        <w:jc w:val="left"/>
      </w:pPr>
      <w:r>
        <w:rPr>
          <w:u w:val="single"/>
        </w:rPr>
        <w:t xml:space="preserve">(c) The date the forensic examination was complete and reported to the law enforcement agency;</w:t>
      </w:r>
    </w:p>
    <w:p>
      <w:pPr>
        <w:spacing w:before="0" w:after="0" w:line="408" w:lineRule="exact"/>
        <w:ind w:left="0" w:right="0" w:firstLine="576"/>
        <w:jc w:val="left"/>
      </w:pPr>
      <w:r>
        <w:rPr>
          <w:u w:val="single"/>
        </w:rPr>
        <w:t xml:space="preserve">(d) Whether the case is open or closed;</w:t>
      </w:r>
    </w:p>
    <w:p>
      <w:pPr>
        <w:spacing w:before="0" w:after="0" w:line="408" w:lineRule="exact"/>
        <w:ind w:left="0" w:right="0" w:firstLine="576"/>
        <w:jc w:val="left"/>
      </w:pPr>
      <w:r>
        <w:rPr>
          <w:u w:val="single"/>
        </w:rPr>
        <w:t xml:space="preserve">(e) Whether the case was reopened as a result of the hit in the combined DNA index system;</w:t>
      </w:r>
    </w:p>
    <w:p>
      <w:pPr>
        <w:spacing w:before="0" w:after="0" w:line="408" w:lineRule="exact"/>
        <w:ind w:left="0" w:right="0" w:firstLine="576"/>
        <w:jc w:val="left"/>
      </w:pPr>
      <w:r>
        <w:rPr>
          <w:u w:val="single"/>
        </w:rPr>
        <w:t xml:space="preserve">(f) For open cases, whether the case remains:</w:t>
      </w:r>
    </w:p>
    <w:p>
      <w:pPr>
        <w:spacing w:before="0" w:after="0" w:line="408" w:lineRule="exact"/>
        <w:ind w:left="0" w:right="0" w:firstLine="576"/>
        <w:jc w:val="left"/>
      </w:pPr>
      <w:r>
        <w:rPr>
          <w:u w:val="single"/>
        </w:rPr>
        <w:t xml:space="preserve">(i) An active investigation;</w:t>
      </w:r>
    </w:p>
    <w:p>
      <w:pPr>
        <w:spacing w:before="0" w:after="0" w:line="408" w:lineRule="exact"/>
        <w:ind w:left="0" w:right="0" w:firstLine="576"/>
        <w:jc w:val="left"/>
      </w:pPr>
      <w:r>
        <w:rPr>
          <w:u w:val="single"/>
        </w:rPr>
        <w:t xml:space="preserve">(ii) Open pending forensic examination results; or</w:t>
      </w:r>
    </w:p>
    <w:p>
      <w:pPr>
        <w:spacing w:before="0" w:after="0" w:line="408" w:lineRule="exact"/>
        <w:ind w:left="0" w:right="0" w:firstLine="576"/>
        <w:jc w:val="left"/>
      </w:pPr>
      <w:r>
        <w:rPr>
          <w:u w:val="single"/>
        </w:rPr>
        <w:t xml:space="preserve">(iii) Open and inactive, in which case the agency must include a brief description as to why the case is inactive; and</w:t>
      </w:r>
    </w:p>
    <w:p>
      <w:pPr>
        <w:spacing w:before="0" w:after="0" w:line="408" w:lineRule="exact"/>
        <w:ind w:left="0" w:right="0" w:firstLine="576"/>
        <w:jc w:val="left"/>
      </w:pPr>
      <w:r>
        <w:rPr>
          <w:u w:val="single"/>
        </w:rPr>
        <w:t xml:space="preserve">(g) For closed cases, whether the case was closed as a result</w:t>
      </w:r>
      <w:r>
        <w:rPr>
          <w:u w:val="single"/>
        </w:rPr>
        <w:t xml:space="preserve"> of:</w:t>
      </w:r>
    </w:p>
    <w:p>
      <w:pPr>
        <w:spacing w:before="0" w:after="0" w:line="408" w:lineRule="exact"/>
        <w:ind w:left="0" w:right="0" w:firstLine="576"/>
        <w:jc w:val="left"/>
      </w:pPr>
      <w:r>
        <w:rPr>
          <w:u w:val="single"/>
        </w:rPr>
        <w:t xml:space="preserve">(i) A referral for prosecution where charges were filed or the prosecutor is reviewing the case;</w:t>
      </w:r>
    </w:p>
    <w:p>
      <w:pPr>
        <w:spacing w:before="0" w:after="0" w:line="408" w:lineRule="exact"/>
        <w:ind w:left="0" w:right="0" w:firstLine="576"/>
        <w:jc w:val="left"/>
      </w:pPr>
      <w:r>
        <w:rPr>
          <w:u w:val="single"/>
        </w:rPr>
        <w:t xml:space="preserve">(ii) A referral for prosecution where the prosecutor declined to file charges based on the case being legally insufficient;</w:t>
      </w:r>
    </w:p>
    <w:p>
      <w:pPr>
        <w:spacing w:before="0" w:after="0" w:line="408" w:lineRule="exact"/>
        <w:ind w:left="0" w:right="0" w:firstLine="576"/>
        <w:jc w:val="left"/>
      </w:pPr>
      <w:r>
        <w:rPr>
          <w:u w:val="single"/>
        </w:rPr>
        <w:t xml:space="preserve">(iii) A referral for prosecution where the prosecutor declined to file charges because the case failed to meet prosecutorial charging standards;</w:t>
      </w:r>
    </w:p>
    <w:p>
      <w:pPr>
        <w:spacing w:before="0" w:after="0" w:line="408" w:lineRule="exact"/>
        <w:ind w:left="0" w:right="0" w:firstLine="576"/>
        <w:jc w:val="left"/>
      </w:pPr>
      <w:r>
        <w:rPr>
          <w:u w:val="single"/>
        </w:rPr>
        <w:t xml:space="preserve">(iv) After reviewing the results of the forensic examination, there was no evidence that a crime occurred, or there was lack of probable cause that a crime occurred;</w:t>
      </w:r>
    </w:p>
    <w:p>
      <w:pPr>
        <w:spacing w:before="0" w:after="0" w:line="408" w:lineRule="exact"/>
        <w:ind w:left="0" w:right="0" w:firstLine="576"/>
        <w:jc w:val="left"/>
      </w:pPr>
      <w:r>
        <w:rPr>
          <w:u w:val="single"/>
        </w:rPr>
        <w:t xml:space="preserve">(v) The inability to locate the victim or lack of victim participation; or</w:t>
      </w:r>
    </w:p>
    <w:p>
      <w:pPr>
        <w:spacing w:before="0" w:after="0" w:line="408" w:lineRule="exact"/>
        <w:ind w:left="0" w:right="0" w:firstLine="576"/>
        <w:jc w:val="left"/>
      </w:pPr>
      <w:r>
        <w:rPr>
          <w:u w:val="single"/>
        </w:rPr>
        <w:t xml:space="preserve">(vi) Any other reason, in which case the agency must include a brief description as to why the case closed.</w:t>
      </w:r>
    </w:p>
    <w:p>
      <w:pPr>
        <w:spacing w:before="0" w:after="0" w:line="408" w:lineRule="exact"/>
        <w:ind w:left="0" w:right="0" w:firstLine="576"/>
        <w:jc w:val="left"/>
      </w:pPr>
      <w:r>
        <w:rPr>
          <w:u w:val="single"/>
        </w:rPr>
        <w:t xml:space="preserve">(6)</w:t>
      </w:r>
      <w:r>
        <w:rPr/>
        <w:t xml:space="preserve"> "Reference sample" means a known sample collected from an individual by a governmental entity for the purpose of comparison to DNA profiles developed in a criminal case.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"Screening by-product" means a product or waste generated during examination of DNA evidence, or the screening process of such evidence, that is not intended for long-term storage.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"Sexual assault kit" includes all evidence collected during a sexual assault medical forensic examination.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any sexual assault kit under RCW 5.70.050 where forensic analysis has generated a profile that has resulted in a hit in the combined DNA index system, the office of the attorney general shall request information from the applicable law enforcement agency and prosecuting attorney as to the case status of any related criminal investigation and prosecution, including information as provided under RCW 5.70.005(5) as well as any other relevant information. The law enforcement agency and prosecuting attorney shall provide requested case status updates to the office of the attorney general. The office of the attorney general shall consult with the association when developing any procedures for requesting and collecting case status updates under this section.</w:t>
      </w:r>
    </w:p>
    <w:p>
      <w:pPr>
        <w:spacing w:before="0" w:after="0" w:line="408" w:lineRule="exact"/>
        <w:ind w:left="0" w:right="0" w:firstLine="576"/>
        <w:jc w:val="left"/>
      </w:pPr>
      <w:r>
        <w:rPr/>
        <w:t xml:space="preserve">(2) Nothing in this section may be interpreted to require any law enforcement agency or prosecuting attorney to disclose any information that would jeopardize an active criminal investigation or prosecution.</w:t>
      </w:r>
    </w:p>
    <w:p>
      <w:pPr>
        <w:spacing w:before="0" w:after="0" w:line="408" w:lineRule="exact"/>
        <w:ind w:left="0" w:right="0" w:firstLine="576"/>
        <w:jc w:val="left"/>
      </w:pPr>
      <w:r>
        <w:rPr/>
        <w:t xml:space="preserve">(3) The attorney general's office shall report quarterly to the association the investigational status of any sexual assault kit under RCW 5.70.050.</w:t>
      </w:r>
    </w:p>
    <w:p>
      <w:pPr>
        <w:spacing w:before="0" w:after="0" w:line="408" w:lineRule="exact"/>
        <w:ind w:left="0" w:right="0" w:firstLine="576"/>
        <w:jc w:val="left"/>
      </w:pPr>
      <w:r>
        <w:rPr/>
        <w:t xml:space="preserve">(4) Beginning in 2022, in consultation with the attorney general's office, the association must submit reports on the information collected pursuant to this section to the governor and appropriate committees of the legislature by January 1st and July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2020 c 26 s 8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w:t>
      </w:r>
      <w:r>
        <w:t>((</w:t>
      </w:r>
      <w:r>
        <w:rPr>
          <w:strike/>
        </w:rPr>
        <w:t xml:space="preserve">develop a proposal for a</w:t>
      </w:r>
      <w:r>
        <w:t>))</w:t>
      </w:r>
      <w:r>
        <w:rPr/>
        <w:t xml:space="preserve"> </w:t>
      </w:r>
      <w:r>
        <w:rPr>
          <w:u w:val="single"/>
        </w:rPr>
        <w:t xml:space="preserve">conduct an annual</w:t>
      </w:r>
      <w:r>
        <w:rPr/>
        <w:t xml:space="preserve"> case review program. The </w:t>
      </w:r>
      <w:r>
        <w:t>((</w:t>
      </w:r>
      <w:r>
        <w:rPr>
          <w:strike/>
        </w:rPr>
        <w:t xml:space="preserve">commission shall research, design, and develop case review strategies designed to optimize outcomes in sexual assault investigations through improved</w:t>
      </w:r>
      <w:r>
        <w:t>))</w:t>
      </w:r>
      <w:r>
        <w:rPr/>
        <w:t xml:space="preserve"> </w:t>
      </w:r>
      <w:r>
        <w:rPr>
          <w:u w:val="single"/>
        </w:rPr>
        <w:t xml:space="preserve">program must review case files from law enforcement agencies and prosecuting attorneys selected by the commission in order to identify changes to</w:t>
      </w:r>
      <w:r>
        <w:rPr/>
        <w:t xml:space="preserve"> training and investigatory practices </w:t>
      </w:r>
      <w:r>
        <w:rPr>
          <w:u w:val="single"/>
        </w:rPr>
        <w:t xml:space="preserve">necessary to optimize outcomes in sexual assault investigations and prosecutions involving adult victims</w:t>
      </w:r>
      <w:r>
        <w:rPr/>
        <w:t xml:space="preserve">. The </w:t>
      </w:r>
      <w:r>
        <w:t>((</w:t>
      </w:r>
      <w:r>
        <w:rPr>
          <w:strike/>
        </w:rPr>
        <w:t xml:space="preserve">proposed</w:t>
      </w:r>
      <w:r>
        <w:t>))</w:t>
      </w:r>
      <w:r>
        <w:rPr/>
        <w:t xml:space="preserve"> program must </w:t>
      </w:r>
      <w:r>
        <w:t>((</w:t>
      </w:r>
      <w:r>
        <w:rPr>
          <w:strike/>
        </w:rPr>
        <w:t xml:space="preserve">evaluate</w:t>
      </w:r>
      <w:r>
        <w:t>))</w:t>
      </w:r>
      <w:r>
        <w:rPr/>
        <w:t xml:space="preserve"> </w:t>
      </w:r>
      <w:r>
        <w:rPr>
          <w:u w:val="single"/>
        </w:rPr>
        <w:t xml:space="preserve">include:</w:t>
      </w:r>
    </w:p>
    <w:p>
      <w:pPr>
        <w:spacing w:before="0" w:after="0" w:line="408" w:lineRule="exact"/>
        <w:ind w:left="0" w:right="0" w:firstLine="576"/>
        <w:jc w:val="left"/>
      </w:pPr>
      <w:r>
        <w:rPr>
          <w:u w:val="single"/>
        </w:rPr>
        <w:t xml:space="preserve">(a) An evaluation of</w:t>
      </w:r>
      <w:r>
        <w:rPr/>
        <w:t xml:space="preserve"> whether current training and practices foster a trauma-informed, victim-centered approach to victim interviews </w:t>
      </w:r>
      <w:r>
        <w:rPr>
          <w:u w:val="single"/>
        </w:rPr>
        <w:t xml:space="preserve">and</w:t>
      </w:r>
      <w:r>
        <w:rPr/>
        <w:t xml:space="preserve"> that identifies best practices and current gaps in training and assesses the integration of the community resiliency model</w:t>
      </w:r>
      <w:r>
        <w:t>((</w:t>
      </w:r>
      <w:r>
        <w:rPr>
          <w:strike/>
        </w:rPr>
        <w:t xml:space="preserve">. The program will include a</w:t>
      </w:r>
      <w:r>
        <w:t>))</w:t>
      </w:r>
      <w:r>
        <w:rPr>
          <w:u w:val="single"/>
        </w:rPr>
        <w:t xml:space="preserve">;</w:t>
      </w:r>
    </w:p>
    <w:p>
      <w:pPr>
        <w:spacing w:before="0" w:after="0" w:line="408" w:lineRule="exact"/>
        <w:ind w:left="0" w:right="0" w:firstLine="576"/>
        <w:jc w:val="left"/>
      </w:pPr>
      <w:r>
        <w:rPr>
          <w:u w:val="single"/>
        </w:rPr>
        <w:t xml:space="preserve">(b) A</w:t>
      </w:r>
      <w:r>
        <w:rPr/>
        <w:t xml:space="preserve"> comparison of cases involving investigators and interviewers who have participated in training to cases involving investigators and interviewers who have not participated in training</w:t>
      </w:r>
      <w:r>
        <w:t>((</w:t>
      </w:r>
      <w:r>
        <w:rPr>
          <w:strike/>
        </w:rPr>
        <w:t xml:space="preserve">. The program will also include other randomly</w:t>
      </w:r>
      <w:r>
        <w:t>))</w:t>
      </w:r>
      <w:r>
        <w:rPr>
          <w:u w:val="single"/>
        </w:rPr>
        <w:t xml:space="preserve">;</w:t>
      </w:r>
    </w:p>
    <w:p>
      <w:pPr>
        <w:spacing w:before="0" w:after="0" w:line="408" w:lineRule="exact"/>
        <w:ind w:left="0" w:right="0" w:firstLine="576"/>
        <w:jc w:val="left"/>
      </w:pPr>
      <w:r>
        <w:rPr>
          <w:u w:val="single"/>
        </w:rPr>
        <w:t xml:space="preserve">(c) Randomly</w:t>
      </w:r>
      <w:r>
        <w:rPr/>
        <w:t xml:space="preserve"> selected cases for a systematic review to assess whether current practices conform to national best practices for a multidisciplinary approach to investigating sexual assault cases and interacting with survivors</w:t>
      </w:r>
      <w:r>
        <w:rPr>
          <w:u w:val="single"/>
        </w:rPr>
        <w:t xml:space="preserve">; and</w:t>
      </w:r>
    </w:p>
    <w:p>
      <w:pPr>
        <w:spacing w:before="0" w:after="0" w:line="408" w:lineRule="exact"/>
        <w:ind w:left="0" w:right="0" w:firstLine="576"/>
        <w:jc w:val="left"/>
      </w:pPr>
      <w:r>
        <w:rPr>
          <w:u w:val="single"/>
        </w:rPr>
        <w:t xml:space="preserve">(d) An analysis of the impact that race and ethnicity have on sexual assault case outcomes</w:t>
      </w:r>
      <w:r>
        <w:rPr/>
        <w:t xml:space="preserve">.</w:t>
      </w:r>
    </w:p>
    <w:p>
      <w:pPr>
        <w:spacing w:before="0" w:after="0" w:line="408" w:lineRule="exact"/>
        <w:ind w:left="0" w:right="0" w:firstLine="576"/>
        <w:jc w:val="left"/>
      </w:pPr>
      <w:r>
        <w:rPr/>
        <w:t xml:space="preserve">(2) </w:t>
      </w:r>
      <w:r>
        <w:rPr>
          <w:u w:val="single"/>
        </w:rPr>
        <w:t xml:space="preserve">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u w:val="single"/>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u w:val="single"/>
        </w:rPr>
        <w:t xml:space="preserve">(4)</w:t>
      </w:r>
      <w:r>
        <w:rPr/>
        <w:t xml:space="preserve"> In designing </w:t>
      </w:r>
      <w:r>
        <w:rPr>
          <w:u w:val="single"/>
        </w:rPr>
        <w:t xml:space="preserve">and conducting</w:t>
      </w:r>
      <w:r>
        <w:rPr/>
        <w:t xml:space="preserve">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submit a report with a summary of its </w:t>
      </w:r>
      <w:r>
        <w:t>((</w:t>
      </w:r>
      <w:r>
        <w:rPr>
          <w:strike/>
        </w:rPr>
        <w:t xml:space="preserve">proposal</w:t>
      </w:r>
      <w:r>
        <w:t>))</w:t>
      </w:r>
      <w:r>
        <w:rPr/>
        <w:t xml:space="preserve"> </w:t>
      </w:r>
      <w:r>
        <w:rPr>
          <w:u w:val="single"/>
        </w:rPr>
        <w:t xml:space="preserve">work</w:t>
      </w:r>
      <w:r>
        <w:rPr/>
        <w:t xml:space="preserve"> to the governor and the appropriate committees of the legislature by December </w:t>
      </w:r>
      <w:r>
        <w:t>((</w:t>
      </w:r>
      <w:r>
        <w:rPr>
          <w:strike/>
        </w:rPr>
        <w:t xml:space="preserve">1, 2020</w:t>
      </w:r>
      <w:r>
        <w:t>))</w:t>
      </w:r>
      <w:r>
        <w:rPr/>
        <w:t xml:space="preserve"> </w:t>
      </w:r>
      <w:r>
        <w:rPr>
          <w:u w:val="single"/>
        </w:rPr>
        <w:t xml:space="preserve">1st of each year</w:t>
      </w:r>
      <w:r>
        <w:rPr/>
        <w:t xml:space="preserve">.</w:t>
      </w:r>
    </w:p>
    <w:p>
      <w:pPr>
        <w:spacing w:before="0" w:after="0" w:line="408" w:lineRule="exact"/>
        <w:ind w:left="0" w:right="0" w:firstLine="576"/>
        <w:jc w:val="left"/>
      </w:pPr>
      <w:r>
        <w:t>((</w:t>
      </w:r>
      <w:r>
        <w:rPr>
          <w:strike/>
        </w:rPr>
        <w:t xml:space="preserve">(4) This section expires July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110</w:t>
      </w:r>
      <w:r>
        <w:rPr/>
        <w:t xml:space="preserve"> and 2019 c 93 s 9 are each amended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w:t>
      </w:r>
      <w:r>
        <w:rPr>
          <w:u w:val="single"/>
        </w:rPr>
        <w:t xml:space="preserve">Receive written notice of the right under (a) of this subsection and that he or she may be eligible for other benefits under the crime victim compensation program, through a form developed by the office of crime victims advocacy, from the medical facility providing the survivor medical treatment relating to the sexual assault;</w:t>
      </w:r>
    </w:p>
    <w:p>
      <w:pPr>
        <w:spacing w:before="0" w:after="0" w:line="408" w:lineRule="exact"/>
        <w:ind w:left="0" w:right="0" w:firstLine="576"/>
        <w:jc w:val="left"/>
      </w:pPr>
      <w:r>
        <w:rPr>
          <w:u w:val="single"/>
        </w:rPr>
        <w:t xml:space="preserve">(c) Receive a referral to an accredited community sexual assault program or, in the case of a survivor who is a minor, receive a connection to services in accordance with the county child sexual abuse investigation protocol under RCW 26.44.180, which may include a referral to a children's advocacy center, when presenting at a medical facility for medical treatment relating to the assault and also when reporting the assault to a law enforcement officer;</w:t>
      </w:r>
    </w:p>
    <w:p>
      <w:pPr>
        <w:spacing w:before="0" w:after="0" w:line="408" w:lineRule="exact"/>
        <w:ind w:left="0" w:right="0" w:firstLine="576"/>
        <w:jc w:val="left"/>
      </w:pPr>
      <w:r>
        <w:rPr>
          <w:u w:val="single"/>
        </w:rPr>
        <w:t xml:space="preserve">(d)</w:t>
      </w:r>
      <w:r>
        <w:rPr/>
        <w:t xml:space="preserve"> Consult with a sexual assault survivor's advocate </w:t>
      </w:r>
      <w:r>
        <w:rPr>
          <w:u w:val="single"/>
        </w:rPr>
        <w:t xml:space="preserve">throughout the investigatory process and prosecution of the survivor's case, including</w:t>
      </w:r>
      <w:r>
        <w:rPr/>
        <w:t xml:space="preserve"> during </w:t>
      </w:r>
      <w:r>
        <w:t>((</w:t>
      </w:r>
      <w:r>
        <w:rPr>
          <w:strike/>
        </w:rPr>
        <w:t xml:space="preserve">any</w:t>
      </w:r>
      <w:r>
        <w:t>))</w:t>
      </w:r>
      <w:r>
        <w:rPr>
          <w:u w:val="single"/>
        </w:rPr>
        <w:t xml:space="preserve">: Any</w:t>
      </w:r>
      <w:r>
        <w:rPr/>
        <w:t xml:space="preserve"> medical evidentiary examination </w:t>
      </w:r>
      <w:r>
        <w:t>((</w:t>
      </w:r>
      <w:r>
        <w:rPr>
          <w:strike/>
        </w:rPr>
        <w:t xml:space="preserve">and during</w:t>
      </w:r>
      <w:r>
        <w:t>))</w:t>
      </w:r>
      <w:r>
        <w:rPr/>
        <w:t xml:space="preserve"> </w:t>
      </w:r>
      <w:r>
        <w:rPr>
          <w:u w:val="single"/>
        </w:rPr>
        <w:t xml:space="preserve">at a medical facility;</w:t>
      </w:r>
      <w:r>
        <w:rPr/>
        <w:t xml:space="preserve"> any interview by law enforcement officers, prosecuting attorneys, or defense attorneys</w:t>
      </w:r>
      <w:r>
        <w:t>((</w:t>
      </w:r>
      <w:r>
        <w:rPr>
          <w:strike/>
        </w:rPr>
        <w:t xml:space="preserve">, unless an advocate cannot be summoned in a timely manner,</w:t>
      </w:r>
      <w:r>
        <w:t>))</w:t>
      </w:r>
      <w:r>
        <w:rPr>
          <w:u w:val="single"/>
        </w:rPr>
        <w:t xml:space="preserve">;</w:t>
      </w:r>
      <w:r>
        <w:rPr/>
        <w:t xml:space="preserve"> and </w:t>
      </w:r>
      <w:r>
        <w:rPr>
          <w:u w:val="single"/>
        </w:rPr>
        <w:t xml:space="preserve">court proceedings, except while providing testimony in a criminal trial, in which case the advocate may be present in the courtroom. Medical facilities, law enforcement officers, prosecuting attorneys, defense attorneys, courts and other applicable criminal justice agencies, including correctional facilities, are responsible for providing advocates access to facilities where necessary to fulfill the requirements under this subsection. The right in this subsection applies</w:t>
      </w:r>
      <w:r>
        <w:rPr/>
        <w:t xml:space="preserve"> regardless of whether a survivor has waived the right in a previous examination or interview;</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Receive notice prior to the destruction or disposal of his or her sexual assault kit;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Receive a copy of the police report related to the investigation without charge;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Review his or her statement before law enforcement refers a case to the prosecuting attorney</w:t>
      </w:r>
      <w:r>
        <w:rPr>
          <w:u w:val="single"/>
        </w:rPr>
        <w:t xml:space="preserve">;</w:t>
      </w:r>
    </w:p>
    <w:p>
      <w:pPr>
        <w:spacing w:before="0" w:after="0" w:line="408" w:lineRule="exact"/>
        <w:ind w:left="0" w:right="0" w:firstLine="576"/>
        <w:jc w:val="left"/>
      </w:pPr>
      <w:r>
        <w:rPr>
          <w:u w:val="single"/>
        </w:rPr>
        <w:t xml:space="preserve">(i) Receive timely notifications from the law enforcement agency and prosecuting attorney as to the status of the investigation and any related prosecution of the survivor's case;</w:t>
      </w:r>
    </w:p>
    <w:p>
      <w:pPr>
        <w:spacing w:before="0" w:after="0" w:line="408" w:lineRule="exact"/>
        <w:ind w:left="0" w:right="0" w:firstLine="576"/>
        <w:jc w:val="left"/>
      </w:pPr>
      <w:r>
        <w:rPr>
          <w:u w:val="single"/>
        </w:rPr>
        <w:t xml:space="preserve">(j) Be informed by the law enforcement agency and prosecuting attorney as to the expected and appropriate time frames for receiving responses to the survivor's inquiries regarding the status of the investigation and any related prosecution of the survivor's case; and further, receive responses to the survivor's inquiries in a manner consistent with those time frames;</w:t>
      </w:r>
    </w:p>
    <w:p>
      <w:pPr>
        <w:spacing w:before="0" w:after="0" w:line="408" w:lineRule="exact"/>
        <w:ind w:left="0" w:right="0" w:firstLine="576"/>
        <w:jc w:val="left"/>
      </w:pPr>
      <w:r>
        <w:rPr>
          <w:u w:val="single"/>
        </w:rPr>
        <w:t xml:space="preserve">(k) Access interpreter services where necessary to facilitate communication throughout the investigatory process and prosecution of the survivor's case; and</w:t>
      </w:r>
    </w:p>
    <w:p>
      <w:pPr>
        <w:spacing w:before="0" w:after="0" w:line="408" w:lineRule="exact"/>
        <w:ind w:left="0" w:right="0" w:firstLine="576"/>
        <w:jc w:val="left"/>
      </w:pPr>
      <w:r>
        <w:rPr>
          <w:u w:val="single"/>
        </w:rPr>
        <w:t xml:space="preserve">(l) Where the sexual assault survivor is a minor, have:</w:t>
      </w:r>
    </w:p>
    <w:p>
      <w:pPr>
        <w:spacing w:before="0" w:after="0" w:line="408" w:lineRule="exact"/>
        <w:ind w:left="0" w:right="0" w:firstLine="576"/>
        <w:jc w:val="left"/>
      </w:pPr>
      <w:r>
        <w:rPr>
          <w:u w:val="single"/>
        </w:rPr>
        <w:t xml:space="preserve">(i) The prosecutor consider and discuss the survivor's requests for remote video testimony under RCW 9A.44.150 when appropriate; and</w:t>
      </w:r>
    </w:p>
    <w:p>
      <w:pPr>
        <w:spacing w:before="0" w:after="0" w:line="408" w:lineRule="exact"/>
        <w:ind w:left="0" w:right="0" w:firstLine="576"/>
        <w:jc w:val="left"/>
      </w:pPr>
      <w:r>
        <w:rPr>
          <w:u w:val="single"/>
        </w:rPr>
        <w:t xml:space="preserve">(ii) The court consider requests from the prosecutor for safeguarding the survivor's feelings of security and safety in the courtroom in order to facilitate the survivor's testimony and participation in the criminal justice process</w:t>
      </w:r>
      <w:r>
        <w:rPr/>
        <w:t xml:space="preserve">.</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cbc2a0b754740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2cf1e60b8c4db4" /><Relationship Type="http://schemas.openxmlformats.org/officeDocument/2006/relationships/footer" Target="/word/footer1.xml" Id="Racbc2a0b754740fa" /></Relationships>
</file>