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40c6e7ca63418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1104</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25, 2021</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1104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1104</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Ryu and Kloba; by request of Department of Financial Institutions</w:t>
      </w:r>
    </w:p>
    <w:p/>
    <w:p>
      <w:r>
        <w:rPr>
          <w:t xml:space="preserve">Prefiled 01/07/21.</w:t>
        </w:rPr>
      </w:r>
      <w:r>
        <w:rPr>
          <w:t xml:space="preserve">Read first time 01/11/21.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operation of the mortgage lending fraud prosecution account until June 30, 2027; amending RCW 36.22.181 and 43.320.140;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181</w:t>
      </w:r>
      <w:r>
        <w:rPr/>
        <w:t xml:space="preserve"> and 2016 c 7 s 2 are each amended to read as follows:</w:t>
      </w:r>
    </w:p>
    <w:p>
      <w:pPr>
        <w:spacing w:before="0" w:after="0" w:line="408" w:lineRule="exact"/>
        <w:ind w:left="0" w:right="0" w:firstLine="576"/>
        <w:jc w:val="left"/>
      </w:pPr>
      <w:r>
        <w:rPr/>
        <w:t xml:space="preserve">(1) Except as provided in subsection (2) of this section, a surcharge of one dollar shall be charged by the county auditor at the time of recording of each deed of trust, which will be in addition to any other charge authorized by law. The auditor may retain up to five percent of the funds collected to administer collection. The remaining funds shall be transmitted monthly to the state treasurer who will deposit the funds into the mortgage lending fraud prosecution account created in RCW 43.320.140. The department of financial institutions is responsible for the distribution of the funds in the account and shall, in consultation with the attorney general and local prosecutors, develop rules for the use of these funds to pursue criminal prosecution of fraudulent activities within the mortgage lending process.</w:t>
      </w:r>
    </w:p>
    <w:p>
      <w:pPr>
        <w:spacing w:before="0" w:after="0" w:line="408" w:lineRule="exact"/>
        <w:ind w:left="0" w:right="0" w:firstLine="576"/>
        <w:jc w:val="left"/>
      </w:pPr>
      <w:r>
        <w:rPr/>
        <w:t xml:space="preserve">(2) The surcharge imposed in this section does not apply to assignments or substitutions of previously recorded deeds of trust.</w:t>
      </w:r>
    </w:p>
    <w:p>
      <w:pPr>
        <w:spacing w:before="0" w:after="0" w:line="408" w:lineRule="exact"/>
        <w:ind w:left="0" w:right="0" w:firstLine="576"/>
        <w:jc w:val="left"/>
      </w:pPr>
      <w:r>
        <w:rPr/>
        <w:t xml:space="preserve">(3) This section expires June 30, </w:t>
      </w:r>
      <w:r>
        <w:t>((</w:t>
      </w:r>
      <w:r>
        <w:rPr>
          <w:strike/>
        </w:rPr>
        <w:t xml:space="preserve">2021</w:t>
      </w:r>
      <w:r>
        <w:t>))</w:t>
      </w:r>
      <w:r>
        <w:rPr/>
        <w:t xml:space="preserve"> </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140</w:t>
      </w:r>
      <w:r>
        <w:rPr/>
        <w:t xml:space="preserve"> and 2016 c 7 s 1 are each amended to read as follows:</w:t>
      </w:r>
    </w:p>
    <w:p>
      <w:pPr>
        <w:spacing w:before="0" w:after="0" w:line="408" w:lineRule="exact"/>
        <w:ind w:left="0" w:right="0" w:firstLine="576"/>
        <w:jc w:val="left"/>
      </w:pPr>
      <w:r>
        <w:rPr/>
        <w:t xml:space="preserve">(1) The mortgage lending fraud prosecution account is created in the custody of the state treasurer. All receipts from the surcharge imposed in RCW 36.22.181, except those retained by the county auditor for administration, must be deposited into the account. Except as otherwise provided in this section, expenditures from the account may be used only for criminal prosecution of fraudulent activities related to mortgage lending fraud crimes. Only the director of the department of financial institutions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June 30, </w:t>
      </w:r>
      <w:r>
        <w:t>((</w:t>
      </w:r>
      <w:r>
        <w:rPr>
          <w:strike/>
        </w:rPr>
        <w:t xml:space="preserve">2021</w:t>
      </w:r>
      <w:r>
        <w:t>))</w:t>
      </w:r>
      <w:r>
        <w:rPr/>
        <w:t xml:space="preserve"> </w:t>
      </w:r>
      <w:r>
        <w:rPr>
          <w:u w:val="single"/>
        </w:rPr>
        <w:t xml:space="preserve">2027</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1edea4239924c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ce897cdb20400a" /><Relationship Type="http://schemas.openxmlformats.org/officeDocument/2006/relationships/footer" Target="/word/footer1.xml" Id="R21edea4239924c23" /></Relationships>
</file>