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c0a683afaf4e3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1052</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14, 2022</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1052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1052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Bateman, Cody, Kloba, and Macri)</w:t>
      </w:r>
    </w:p>
    <w:p/>
    <w:p>
      <w:r>
        <w:rPr>
          <w:t xml:space="preserve">READ FIRST TIME 01/19/21.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group insurance contract performance standards; amending RCW 48.30.140 and 48.30.150; adding a new section to chapter 48.30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align the insurance code and performance-based contracting to ensure the continued practice of using performance standards and performance guarantees in group insurance contracts, including those entered into by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For purposes of this section, "performance standard" means a 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 Group policyholders and insurers or health carriers may calculate the amount of the penalty based on a percentage of the overall premium owed to the insurer or health carrier by the policyholder.</w:t>
      </w:r>
    </w:p>
    <w:p>
      <w:pPr>
        <w:spacing w:before="0" w:after="0" w:line="408" w:lineRule="exact"/>
        <w:ind w:left="0" w:right="0" w:firstLine="576"/>
        <w:jc w:val="left"/>
      </w:pPr>
      <w:r>
        <w:rPr/>
        <w:t xml:space="preserve">(2) Remittance of a performance payment to the group policyholder in compliance with this section does not constitute a premium under RCW 48.18.170 and 48.43.005. Nothing in this section prevents the health care authority from including performance standards in contracts.</w:t>
      </w:r>
    </w:p>
    <w:p>
      <w:pPr>
        <w:spacing w:before="0" w:after="0" w:line="408" w:lineRule="exact"/>
        <w:ind w:left="0" w:right="0" w:firstLine="576"/>
        <w:jc w:val="left"/>
      </w:pPr>
      <w:r>
        <w:rPr/>
        <w:t xml:space="preserve">(3) If a group insurance contract includes any performance standards, the insurer or health carrier must describe the performance standards in the group insurance contract and file the contract with the commissioner.</w:t>
      </w:r>
    </w:p>
    <w:p>
      <w:pPr>
        <w:spacing w:before="0" w:after="0" w:line="408" w:lineRule="exact"/>
        <w:ind w:left="0" w:right="0" w:firstLine="576"/>
        <w:jc w:val="left"/>
      </w:pPr>
      <w:r>
        <w:rPr/>
        <w:t xml:space="preserve">(4) Remittance of a performance payment to the group policyholder in compliance with this section must not be considered a return premium for purposes of RCW 48.14.020 and 48.14.0201.</w:t>
      </w:r>
    </w:p>
    <w:p>
      <w:pPr>
        <w:spacing w:before="0" w:after="0" w:line="408" w:lineRule="exact"/>
        <w:ind w:left="0" w:right="0" w:firstLine="576"/>
        <w:jc w:val="left"/>
      </w:pPr>
      <w:r>
        <w:rPr/>
        <w:t xml:space="preserve">(5) This section does not apply to small groups as defined in RCW 48.43.005.</w:t>
      </w:r>
    </w:p>
    <w:p>
      <w:pPr>
        <w:spacing w:before="0" w:after="0" w:line="408" w:lineRule="exact"/>
        <w:ind w:left="0" w:right="0" w:firstLine="576"/>
        <w:jc w:val="left"/>
      </w:pPr>
      <w:r>
        <w:rPr/>
        <w:t xml:space="preserve">(6) The commissioner may adopt rules to implement this section.</w:t>
      </w:r>
    </w:p>
    <w:p>
      <w:pPr>
        <w:spacing w:before="0" w:after="0" w:line="408" w:lineRule="exact"/>
        <w:ind w:left="0" w:right="0" w:firstLine="576"/>
        <w:jc w:val="left"/>
      </w:pPr>
      <w:r>
        <w:rPr/>
        <w:t xml:space="preserve">(7) For the purposes of this section, "health carrier" has the meaning provided in RCW 48.43.005.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2020 c 197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 or insurance producers whereby prizes, goods, wares, gift cards, gift certificates, or merchandise, not exceeding one hundred dollars in value per person in the aggregate in any twelve-month period, are given to all insureds or prospective insureds under similar qualifying circumstances. 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t xml:space="preserve">(7) Subsection (1) of this section does not apply to a payment by an insurer to offset documented expenses incurred by a group policyholder in changing coverages from one insurer to another. Insurers shall describe any such payment in the group insurance policy or in an applicable filing with the commissioner. If an implementation credit is given to a group, the implementation credit is part of the premium for the purposes of RCW 48.14.020 and 48.14.0201. This exception to subsection (1) of this section does not apply to "medicare supplemental insurance" or "medicare supplemental insurance policies" as defined in chapter 48.66 RCW.</w:t>
      </w:r>
    </w:p>
    <w:p>
      <w:pPr>
        <w:spacing w:before="0" w:after="0" w:line="408" w:lineRule="exact"/>
        <w:ind w:left="0" w:right="0" w:firstLine="576"/>
        <w:jc w:val="left"/>
      </w:pPr>
      <w:r>
        <w:rPr/>
        <w:t xml:space="preserve">(8) Subsection (7) of this section does not apply to small groups as defined in RCW 48.43.005.</w:t>
      </w:r>
    </w:p>
    <w:p>
      <w:pPr>
        <w:spacing w:before="0" w:after="0" w:line="408" w:lineRule="exact"/>
        <w:ind w:left="0" w:right="0" w:firstLine="576"/>
        <w:jc w:val="left"/>
      </w:pPr>
      <w:r>
        <w:rPr/>
        <w:t xml:space="preserve">(9) Subsection (1) of this section does not apply to products or services related to any policy of life insurance that are intended to incent behavioral changes that improve the health and reduce the risk of death of the insured.</w:t>
      </w:r>
    </w:p>
    <w:p>
      <w:pPr>
        <w:spacing w:before="0" w:after="0" w:line="408" w:lineRule="exact"/>
        <w:ind w:left="0" w:right="0" w:firstLine="576"/>
        <w:jc w:val="left"/>
      </w:pPr>
      <w:r>
        <w:rPr>
          <w:u w:val="single"/>
        </w:rPr>
        <w:t xml:space="preserve">(10) Subsection (1) of this section does not apply to a performance standard offered or provided in compliance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2020 c 197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gift cards, gift certificates, or merchandise of an aggregate value in excess of one hundred dollars per person in the aggregate in any consecutive twelve-month period. This subsection (1)(c) does not apply to title insurers or title insurance agents.</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t xml:space="preserve">(4) Subsection (1) of this section does not prohibit an insurer from issuing any payment to offset documented expenses incurred by a group policyholder in changing coverages from one insurer to another as provided in RCW 48.30.140. If an implementation credit is given to a group, the implementation credit is part of the premium for the purposes of RCW 48.14.020 and 48.14.0201. This exception to subsection (1) of this section does not apply to "medicare supplemental insurance" or "medicare supplemental insurance policies" as defined in chapter 48.66 RCW.</w:t>
      </w:r>
    </w:p>
    <w:p>
      <w:pPr>
        <w:spacing w:before="0" w:after="0" w:line="408" w:lineRule="exact"/>
        <w:ind w:left="0" w:right="0" w:firstLine="576"/>
        <w:jc w:val="left"/>
      </w:pPr>
      <w:r>
        <w:rPr/>
        <w:t xml:space="preserve">(5) Subsection (4) of this section does not apply to small groups as defined in RCW 48.43.005.</w:t>
      </w:r>
    </w:p>
    <w:p>
      <w:pPr>
        <w:spacing w:before="0" w:after="0" w:line="408" w:lineRule="exact"/>
        <w:ind w:left="0" w:right="0" w:firstLine="576"/>
        <w:jc w:val="left"/>
      </w:pPr>
      <w:r>
        <w:rPr/>
        <w:t xml:space="preserve">(6) Subsection (1) of this section does not apply to products or services related to any policy of life insurance that are intended to incent behavioral changes that improve the health and reduce the risk of death of the insured.</w:t>
      </w:r>
    </w:p>
    <w:p>
      <w:pPr>
        <w:spacing w:before="0" w:after="0" w:line="408" w:lineRule="exact"/>
        <w:ind w:left="0" w:right="0" w:firstLine="576"/>
        <w:jc w:val="left"/>
      </w:pPr>
      <w:r>
        <w:rPr>
          <w:u w:val="single"/>
        </w:rPr>
        <w:t xml:space="preserve">(7) Subsection (1) of this section does not apply to a performance standard offered or provided in compliance with section 2 of this act.</w:t>
      </w:r>
    </w:p>
    <w:p/>
    <w:p>
      <w:pPr>
        <w:jc w:val="center"/>
      </w:pPr>
      <w:r>
        <w:rPr>
          <w:b/>
        </w:rPr>
        <w:t>--- END ---</w:t>
      </w:r>
    </w:p>
    <w:sectPr>
      <w:pgNumType w:start="1"/>
      <w:footerReference xmlns:r="http://schemas.openxmlformats.org/officeDocument/2006/relationships" r:id="Re8485eb739734f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370d5e9bd648be" /><Relationship Type="http://schemas.openxmlformats.org/officeDocument/2006/relationships/footer" Target="/word/footer1.xml" Id="Re8485eb739734f2f" /></Relationships>
</file>