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a3b726037497c" /></Relationships>
</file>

<file path=word/document.xml><?xml version="1.0" encoding="utf-8"?>
<w:document xmlns:w="http://schemas.openxmlformats.org/wordprocessingml/2006/main">
  <w:body>
    <w:p>
      <w:r>
        <w:t>Z-0534.1</w:t>
      </w:r>
    </w:p>
    <w:p>
      <w:pPr>
        <w:jc w:val="center"/>
      </w:pPr>
      <w:r>
        <w:t>_______________________________________________</w:t>
      </w:r>
    </w:p>
    <w:p/>
    <w:p>
      <w:pPr>
        <w:jc w:val="center"/>
      </w:pPr>
      <w:r>
        <w:rPr>
          <w:b/>
        </w:rPr>
        <w:t>HOUSE JOINT RESOLUTION 4211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Volz, Harris, Stonier, Ryu, Chase, Graham, and Ormsby; by request of State Treasurer</w:t>
      </w:r>
    </w:p>
    <w:p/>
    <w:p>
      <w:r>
        <w:rPr>
          <w:t xml:space="preserve">Read first time 01/25/22.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XXIX, section 1 of the Constitution of the state of Washington to read as follows:</w:t>
      </w:r>
    </w:p>
    <w:p>
      <w:pPr>
        <w:spacing w:before="0" w:after="0" w:line="408" w:lineRule="exact"/>
        <w:ind w:left="0" w:right="0" w:firstLine="576"/>
        <w:jc w:val="left"/>
      </w:pPr>
      <w:r>
        <w:rPr/>
        <w:t xml:space="preserve">Article XXIX, section 1. Notwithstanding the provisions of sections 5, and 7 of Article VIII and section 9 of Article XII or any other section or article of the Constitution of the state of Washington, the moneys of any public pension or retirement fund, industrial insurance trust fund, </w:t>
      </w:r>
      <w:r>
        <w:t>((</w:t>
      </w:r>
      <w:r>
        <w:rPr>
          <w:strike/>
        </w:rPr>
        <w:t xml:space="preserve">or</w:t>
      </w:r>
      <w:r>
        <w:t>))</w:t>
      </w:r>
      <w:r>
        <w:rPr/>
        <w:t xml:space="preserve"> fund held in trust for the benefit of persons with developmental disabilities</w:t>
      </w:r>
      <w:r>
        <w:rPr>
          <w:u w:val="single"/>
        </w:rPr>
        <w:t xml:space="preserve">, or fund held in trust for the benefit of persons experiencing persistent poverty,</w:t>
      </w:r>
      <w:r>
        <w:rPr/>
        <w:t xml:space="preserve"> may be invested as authorized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dd6b500acd6140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5e8b29cad34b3d" /><Relationship Type="http://schemas.openxmlformats.org/officeDocument/2006/relationships/footer" Target="/word/footer1.xml" Id="Rdd6b500acd61406a" /></Relationships>
</file>