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c5406bf1f46bd" /></Relationships>
</file>

<file path=word/document.xml><?xml version="1.0" encoding="utf-8"?>
<w:document xmlns:w="http://schemas.openxmlformats.org/wordprocessingml/2006/main">
  <w:body>
    <w:p>
      <w:r>
        <w:t>H-0377.1</w:t>
      </w:r>
    </w:p>
    <w:p>
      <w:pPr>
        <w:jc w:val="center"/>
      </w:pPr>
      <w:r>
        <w:t>_______________________________________________</w:t>
      </w:r>
    </w:p>
    <w:p/>
    <w:p>
      <w:pPr>
        <w:jc w:val="center"/>
      </w:pPr>
      <w:r>
        <w:rPr>
          <w:b/>
        </w:rPr>
        <w:t>HOUSE JOINT RESOLUTION 4203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Sutherland, Young, Chase, Dufault, and Boehnke</w:t>
      </w:r>
    </w:p>
    <w:p/>
    <w:p>
      <w:r>
        <w:rPr>
          <w:t xml:space="preserve">Read first time 01/20/21.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II of the Constitution of the state of Washington by adding a new section to read as follows:</w:t>
      </w:r>
    </w:p>
    <w:p>
      <w:pPr>
        <w:spacing w:before="12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 For the purposes of this subsection,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Unless provided otherwise in this subsection, a fee may only be imposed or increased in any fiscal year if it is legislatively approved with at least a simple majority vote in both the house of representatives and the senate.</w:t>
      </w:r>
    </w:p>
    <w:p>
      <w:pPr>
        <w:spacing w:before="0" w:after="0" w:line="408" w:lineRule="exact"/>
        <w:ind w:left="0" w:right="0" w:firstLine="576"/>
        <w:jc w:val="left"/>
      </w:pPr>
      <w:r>
        <w:rPr/>
        <w:t xml:space="preserve">(b) The requirement in (a) of this subsection does not apply to an assessment made by: (i) An agricultural commodity commission; (ii) a board created by state statute or created under a marketing agreement or order under chapter 15.65 or 15.66 RCW; or (iii) the forest products commission, if such assessment is approved by referendum in accordance with the provisions of the statutes creating the commission or board or in accordance with chapter 15.65 or 15.66 RCW.</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dc25b27e76994d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263f761e8b443a" /><Relationship Type="http://schemas.openxmlformats.org/officeDocument/2006/relationships/footer" Target="/word/footer1.xml" Id="Rdc25b27e76994d4a" /></Relationships>
</file>