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f3f37191a64e77" /></Relationships>
</file>

<file path=word/document.xml><?xml version="1.0" encoding="utf-8"?>
<w:document xmlns:w="http://schemas.openxmlformats.org/wordprocessingml/2006/main">
  <w:body>
    <w:p>
      <w:r>
        <w:t>H-2622.1</w:t>
      </w:r>
    </w:p>
    <w:p>
      <w:pPr>
        <w:jc w:val="center"/>
      </w:pPr>
      <w:r>
        <w:t>_______________________________________________</w:t>
      </w:r>
    </w:p>
    <w:p/>
    <w:p>
      <w:pPr>
        <w:jc w:val="center"/>
      </w:pPr>
      <w:r>
        <w:rPr>
          <w:b/>
        </w:rPr>
        <w:t>SUBSTITUTE HOUSE BILL 2099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Berg, Frame, and Sutherland; by request of Department of Revenue)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administration by waiving penalties and imposing interest in certain situations involving delayed tax payments, and by extending a statute of limitations period for certain egregious tax crimes; amending RCW 82.32.050; reenacting and amending RCW 9A.04.080;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interest applies to taxes that are not paid by the original due date even though the department has granted an extension as authorized under this chapter. However, the department may not assess penalties for late payment of any such tax that is paid in full by the extended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2020 c 139 s 60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(c)(i) Except as otherwise provided in </w:t>
      </w:r>
      <w:r>
        <w:t>((</w:t>
      </w:r>
      <w:r>
        <w:rPr>
          <w:strike/>
        </w:rPr>
        <w:t xml:space="preserve">(c)(ii) of</w:t>
      </w:r>
      <w:r>
        <w:t>))</w:t>
      </w:r>
      <w:r>
        <w:rPr/>
        <w:t xml:space="preserve"> this subsection (1)</w:t>
      </w:r>
      <w:r>
        <w:rPr>
          <w:u w:val="single"/>
        </w:rPr>
        <w:t xml:space="preserve">(c)</w:t>
      </w:r>
      <w:r>
        <w:rPr/>
        <w:t xml:space="preserve">,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pPr>
        <w:spacing w:before="0" w:after="0" w:line="408" w:lineRule="exact"/>
        <w:ind w:left="0" w:right="0" w:firstLine="576"/>
        <w:jc w:val="left"/>
      </w:pPr>
      <w:r>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t xml:space="preserve">(iii) </w:t>
      </w:r>
      <w:r>
        <w:rPr>
          <w:u w:val="single"/>
        </w:rPr>
        <w:t xml:space="preserve">For purposes of computing interest under (c)(i) and (ii) of this subsection (1):</w:t>
      </w:r>
    </w:p>
    <w:p>
      <w:pPr>
        <w:spacing w:before="0" w:after="0" w:line="408" w:lineRule="exact"/>
        <w:ind w:left="0" w:right="0" w:firstLine="576"/>
        <w:jc w:val="left"/>
      </w:pPr>
      <w:r>
        <w:rPr>
          <w:u w:val="single"/>
        </w:rPr>
        <w:t xml:space="preserve">(A) The same computation of interest applies regardless of whether the department grants additional time for filing any return under RCW 82.32.080(4)(a)(i).</w:t>
      </w:r>
    </w:p>
    <w:p>
      <w:pPr>
        <w:spacing w:before="0" w:after="0" w:line="408" w:lineRule="exact"/>
        <w:ind w:left="0" w:right="0" w:firstLine="576"/>
        <w:jc w:val="left"/>
      </w:pPr>
      <w:r>
        <w:rPr>
          <w:u w:val="single"/>
        </w:rPr>
        <w:t xml:space="preserve">(B) If the department extends a due date under subsection (3) of this section or RCW 82.32.080(4)(b), and payment is not made in full by the extended due date, interest is computed from the last day of the month in which the extended due date occurs until the date of payment.</w:t>
      </w:r>
    </w:p>
    <w:p>
      <w:pPr>
        <w:spacing w:before="0" w:after="0" w:line="408" w:lineRule="exact"/>
        <w:ind w:left="0" w:right="0" w:firstLine="576"/>
        <w:jc w:val="left"/>
      </w:pPr>
      <w:r>
        <w:rPr>
          <w:u w:val="single"/>
        </w:rPr>
        <w:t xml:space="preserve">(iv)</w:t>
      </w:r>
      <w:r>
        <w:rPr/>
        <w:t xml:space="preserve">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w:t>
      </w:r>
      <w:r>
        <w:t>((</w:t>
      </w:r>
      <w:r>
        <w:rPr>
          <w:strike/>
        </w:rPr>
        <w:t xml:space="preserve">"return"</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"Due date of the notice" means the date indicated in the notice by which the amount due in the notice must be paid, or such later date as provided by RCW 1.12.070(3).</w:t>
      </w:r>
    </w:p>
    <w:p>
      <w:pPr>
        <w:spacing w:before="0" w:after="0" w:line="408" w:lineRule="exact"/>
        <w:ind w:left="0" w:right="0" w:firstLine="576"/>
        <w:jc w:val="left"/>
      </w:pPr>
      <w:r>
        <w:rPr>
          <w:u w:val="single"/>
        </w:rPr>
        <w:t xml:space="preserve">(b) "Return"</w:t>
      </w:r>
      <w:r>
        <w:rPr/>
        <w:t xml:space="preserve"> means any document a person is required by the state of Washington to file to satisfy or establish a tax or fee obligation that is administered or collected by the department of revenue and that has a statutorily defined due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 regard to the imposition of interest, sections 1 and 2 of this act apply to taxes due under an extension granted by the department of revenue on or after January 1, 2023, except in cases where the department of revenue received the request for the extension before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2019 c 93 s 2 and 2019 c 87 s 2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w:t>
      </w:r>
      <w:r>
        <w:t>((</w:t>
      </w:r>
      <w:r>
        <w:rPr>
          <w:strike/>
        </w:rPr>
        <w:t xml:space="preserve">or</w:t>
      </w:r>
      <w:r>
        <w:t>))</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r>
        <w:rPr>
          <w:u w:val="single"/>
        </w:rPr>
        <w:t xml:space="preserve">; or</w:t>
      </w:r>
    </w:p>
    <w:p>
      <w:pPr>
        <w:spacing w:before="0" w:after="0" w:line="408" w:lineRule="exact"/>
        <w:ind w:left="0" w:right="0" w:firstLine="576"/>
        <w:jc w:val="left"/>
      </w:pPr>
      <w:r>
        <w:rPr>
          <w:u w:val="single"/>
        </w:rPr>
        <w:t xml:space="preserve">(vii) Violations of RCW 82.32.290 (2)(a)(iii) or (4)</w:t>
      </w:r>
      <w:r>
        <w:rPr/>
        <w:t xml:space="preserve">.</w:t>
      </w:r>
    </w:p>
    <w:p>
      <w:pPr>
        <w:spacing w:before="0" w:after="0" w:line="408" w:lineRule="exact"/>
        <w:ind w:left="0" w:right="0" w:firstLine="576"/>
        <w:jc w:val="left"/>
      </w:pPr>
      <w:r>
        <w:rPr/>
        <w:t xml:space="preserve">(f)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(g) Bigamy may not be prosecuted more than three years after the time specified in RCW 9A.64.010.</w:t>
      </w:r>
    </w:p>
    <w:p>
      <w:pPr>
        <w:spacing w:before="0" w:after="0" w:line="408" w:lineRule="exact"/>
        <w:ind w:left="0" w:right="0" w:firstLine="576"/>
        <w:jc w:val="left"/>
      </w:pPr>
      <w:r>
        <w:rPr/>
        <w:t xml:space="preserve">(h)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January 1, 2023.</w:t>
      </w:r>
    </w:p>
    <w:p/>
    <w:p>
      <w:pPr>
        <w:jc w:val="center"/>
      </w:pPr>
      <w:r>
        <w:rPr>
          <w:b/>
        </w:rPr>
        <w:t>--- END ---</w:t>
      </w:r>
    </w:p>
    <w:sectPr>
      <w:pgNumType w:start="1"/>
      <w:footerReference xmlns:r="http://schemas.openxmlformats.org/officeDocument/2006/relationships" r:id="Rd7077bb945c942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668b5730841a7" /><Relationship Type="http://schemas.openxmlformats.org/officeDocument/2006/relationships/footer" Target="/word/footer1.xml" Id="Rd7077bb945c94205" /></Relationships>
</file>