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4365e406d4dc8" /></Relationships>
</file>

<file path=word/document.xml><?xml version="1.0" encoding="utf-8"?>
<w:document xmlns:w="http://schemas.openxmlformats.org/wordprocessingml/2006/main">
  <w:body>
    <w:p>
      <w:r>
        <w:t>H-2528.1</w:t>
      </w:r>
    </w:p>
    <w:p>
      <w:pPr>
        <w:jc w:val="center"/>
      </w:pPr>
      <w:r>
        <w:t>_______________________________________________</w:t>
      </w:r>
    </w:p>
    <w:p/>
    <w:p>
      <w:pPr>
        <w:jc w:val="center"/>
      </w:pPr>
      <w:r>
        <w:rPr>
          <w:b/>
        </w:rPr>
        <w:t>SUBSTITUTE HOUSE BILL 2066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Barkis, Klicker, Dufault, Gilday, Sutherland, Eslick, and Dent)</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for infill development under the state environmental policy act; amending RCW 43.21C.229 and 36.70A.215;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In order to accommodate infill development and thereby realize the goals and policies of comprehensive plans adopted according to chapter 36.70A RCW, a city or county planning under RCW 36.70A.040 is authorized by this section to establish categorical exemptions from the requirements of this chapter. An exemption adopted under this section applies even if it differs from the categorical exemptions adopted by rule of the department under RCW 43.21C.110(1)(a). An exemption may be adopted by a city or county under this 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sixty-five thousand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w:t>
      </w:r>
      <w:r>
        <w:t>((</w:t>
      </w:r>
      <w:r>
        <w:rPr>
          <w:strike/>
        </w:rPr>
        <w:t xml:space="preserve">previously</w:t>
      </w:r>
      <w:r>
        <w:t>))</w:t>
      </w:r>
      <w:r>
        <w:rPr/>
        <w:t xml:space="preserve"> subjected to environmental analysis </w:t>
      </w:r>
      <w:r>
        <w:rPr>
          <w:u w:val="single"/>
        </w:rPr>
        <w:t xml:space="preserve">in the previous seven years</w:t>
      </w:r>
      <w:r>
        <w:rPr/>
        <w:t xml:space="preserve">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(2) Any categorical exemption adopted by a city or county under this section shall be subject to the rules of the department adopted according to RCW 43.21C.110(1)(a) that provide exceptions to the use of categorical exemptions adopted by the department.</w:t>
      </w:r>
    </w:p>
    <w:p>
      <w:pPr>
        <w:spacing w:before="0" w:after="0" w:line="408" w:lineRule="exact"/>
        <w:ind w:left="0" w:right="0" w:firstLine="576"/>
        <w:jc w:val="left"/>
      </w:pPr>
      <w:r>
        <w:rPr>
          <w:u w:val="single"/>
        </w:rPr>
        <w:t xml:space="preserve">(3) A city that is subject to the requirement to develop reasonable measures pursuant to RCW 36.70A.215 must consider how to maximize the use of the infill development exemption established in this section, consistent with maintaining environmental protections, in order to minimize the duplication of environmental review.</w:t>
      </w:r>
    </w:p>
    <w:p>
      <w:pPr>
        <w:spacing w:before="0" w:after="0" w:line="408" w:lineRule="exact"/>
        <w:ind w:left="0" w:right="0" w:firstLine="576"/>
        <w:jc w:val="left"/>
      </w:pPr>
      <w:r>
        <w:rPr>
          <w:u w:val="single"/>
        </w:rPr>
        <w:t xml:space="preserve">(4) Any categorical exemption adopted by a city or county under this section must provide a means for collaboration and coordination with any federally recognized tribe or tribes whose ceded lands, usual and accustomed areas, or areas protected by executive order or federal statute are affected by the infill development that is the subject of the exemption. The collaboration and coordination must ensure that the cultural resource concerns of any such tribe or tribes are addressed before any development or ground disturbance may occur at the location of the infill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2017 3rd sp.s. c 16 s 2 are each amended to read as follows:</w:t>
      </w:r>
    </w:p>
    <w:p>
      <w:pPr>
        <w:spacing w:before="0" w:after="0" w:line="408" w:lineRule="exact"/>
        <w:ind w:left="0" w:right="0" w:firstLine="576"/>
        <w:jc w:val="left"/>
      </w:pPr>
      <w:r>
        <w:rPr/>
        <w:t xml:space="preserve">(1) Subject to the limitations in subsection (5)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 other than adjusting urban growth areas, that will be taken to comply with the requirements of this chapter. Reasonable measures are those actions necessary to reduce the differences between growth and development assumptions and targets contained in the countywide planning policies and the county and city comprehensive plans with actual development patterns. The reasonable measures process in subsection (3) of this section shall be used as part of the next comprehensive plan update to reconcile inconsistencies.</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zoning and development standards, environmental regulations including but not limited to critical areas, stormwater, shoreline, and tree retention requirements; and capital facilities to determine the quantity and type of land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three years prior to the deadline for review and, if necessary, update of comprehensive plans and development regulations as required by RCW 36.70A.130. For comprehensive plans required to be updated before 2024, the evaluation as provided in subsection (3) of this section shall be completed no later than two years prior to the deadline for review and, if necessary, update of comprehensive plans.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Develop reasonable measures to use in reducing the differences between growth and development assumptions and targets contained in the countywide planning policies and county and city comprehensive plans, with the actual development patterns. The reasonable measures shall be adopted, if necessary, into the countywide planning policies and the county or city comprehensive plans and development regulations during the next scheduled update of the plans. </w:t>
      </w:r>
      <w:r>
        <w:rPr>
          <w:u w:val="single"/>
        </w:rPr>
        <w:t xml:space="preserve">A city that adopts reasonable measures pursuant to this section must consider how to maximize the use of the infill development exemption established in RCW 43.21C.229, consistent with maintaining environmental protections, in order to minimize the duplication of environmental review.</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 The zoned capacity of land alone is not a sufficient standard to deem land suitable for development or redevelopment within the twenty-year planning period;</w:t>
      </w:r>
    </w:p>
    <w:p>
      <w:pPr>
        <w:spacing w:before="0" w:after="0" w:line="408" w:lineRule="exact"/>
        <w:ind w:left="0" w:right="0" w:firstLine="576"/>
        <w:jc w:val="left"/>
      </w:pPr>
      <w:r>
        <w:rPr/>
        <w:t xml:space="preserve">(b) An evaluation and identification of land suitable for development or redevelopment shall include:</w:t>
      </w:r>
    </w:p>
    <w:p>
      <w:pPr>
        <w:spacing w:before="0" w:after="0" w:line="408" w:lineRule="exact"/>
        <w:ind w:left="0" w:right="0" w:firstLine="576"/>
        <w:jc w:val="left"/>
      </w:pPr>
      <w:r>
        <w:rPr/>
        <w:t xml:space="preserve">(i) A review and evaluation of the land use designation and zoning/development regulations; environmental regulations (such as tree retention, stormwater, or critical area regulations) impacting development; and other regulations that could prevent assigned densities from being achieved; infrastructure gaps (including but not limited to transportation, water, sewer, and stormwater); and</w:t>
      </w:r>
    </w:p>
    <w:p>
      <w:pPr>
        <w:spacing w:before="0" w:after="0" w:line="408" w:lineRule="exact"/>
        <w:ind w:left="0" w:right="0" w:firstLine="576"/>
        <w:jc w:val="left"/>
      </w:pPr>
      <w:r>
        <w:rPr/>
        <w:t xml:space="preserve">(ii) Use of a reasonable land market supply factor when evaluating land suitable to accommodate new development or redevelopment of land for residential development and employment activities. The reasonable market supply factor identifies reductions in the amount of land suitable for development and redevelopment. The methodology for conducting a reasonable land market factor shall be determined through the guidance developed in RCW 36.70A.217;</w:t>
      </w:r>
    </w:p>
    <w:p>
      <w:pPr>
        <w:spacing w:before="0" w:after="0" w:line="408" w:lineRule="exact"/>
        <w:ind w:left="0" w:right="0" w:firstLine="576"/>
        <w:jc w:val="left"/>
      </w:pPr>
      <w:r>
        <w:rPr/>
        <w:t xml:space="preserve">(c) Provide an analysis of county and/or city development assumptions, targets, and objectives contained in the countywide planning policies and the county and city comprehensive plans when growth targets and assumptions are not being achieved. It is not appropriate to make a finding that assumed growth contained in the countywide planning policies and the county or city comprehensive plan will occur at the end of the current comprehensive planning twenty-year planning cycle without rationale;</w:t>
      </w:r>
    </w:p>
    <w:p>
      <w:pPr>
        <w:spacing w:before="0" w:after="0" w:line="408" w:lineRule="exact"/>
        <w:ind w:left="0" w:right="0" w:firstLine="576"/>
        <w:jc w:val="left"/>
      </w:pPr>
      <w:r>
        <w:rPr/>
        <w:t xml:space="preserve">(d) Determine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(e)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From funds appropriated by the legislature for this purpose, the department shall provide grants to counties, cities, and regional planning organizations required under subsection (5) of this section to conduct the review and perform the evaluation required by this section.</w:t>
      </w:r>
    </w:p>
    <w:p>
      <w:pPr>
        <w:spacing w:before="0" w:after="0" w:line="408" w:lineRule="exact"/>
        <w:ind w:left="0" w:right="0" w:firstLine="576"/>
        <w:jc w:val="left"/>
      </w:pPr>
      <w:r>
        <w:rPr/>
        <w:t xml:space="preserve">(5) The provisions of this section shall apply to counties, and the cities within those counties, that were greater than one hundred fifty thousand in population in 1996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p>
    <w:p>
      <w:pPr>
        <w:spacing w:before="0" w:after="0" w:line="408" w:lineRule="exact"/>
        <w:ind w:left="0" w:right="0" w:firstLine="576"/>
        <w:jc w:val="left"/>
      </w:pPr>
      <w:r>
        <w:rPr/>
        <w:t xml:space="preserve">(6) The requirements of this section are subject to the availability of funds appropriated for this specific purpose. If sufficient funds are not appropriated consistent with the timelines in subsection (2)(b) of this section, counties and cities shall be subject to the review and evaluation program as it existed prior to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2030.</w:t>
      </w:r>
    </w:p>
    <w:p/>
    <w:p>
      <w:pPr>
        <w:jc w:val="center"/>
      </w:pPr>
      <w:r>
        <w:rPr>
          <w:b/>
        </w:rPr>
        <w:t>--- END ---</w:t>
      </w:r>
    </w:p>
    <w:sectPr>
      <w:pgNumType w:start="1"/>
      <w:footerReference xmlns:r="http://schemas.openxmlformats.org/officeDocument/2006/relationships" r:id="R73c0d25c2ed2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cead0e0d94491" /><Relationship Type="http://schemas.openxmlformats.org/officeDocument/2006/relationships/footer" Target="/word/footer1.xml" Id="R73c0d25c2ed24e4e" /></Relationships>
</file>