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d34bc9a5245ff" /></Relationships>
</file>

<file path=word/document.xml><?xml version="1.0" encoding="utf-8"?>
<w:document xmlns:w="http://schemas.openxmlformats.org/wordprocessingml/2006/main">
  <w:body>
    <w:p>
      <w:r>
        <w:t>H-2230.1</w:t>
      </w:r>
    </w:p>
    <w:p>
      <w:pPr>
        <w:jc w:val="center"/>
      </w:pPr>
      <w:r>
        <w:t>_______________________________________________</w:t>
      </w:r>
    </w:p>
    <w:p/>
    <w:p>
      <w:pPr>
        <w:jc w:val="center"/>
      </w:pPr>
      <w:r>
        <w:rPr>
          <w:b/>
        </w:rPr>
        <w:t>HOUSE BILL 2058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Tharinger, Leavitt, Santos, Shewmake, Harris-Talley, Eslick, and Lekanoff</w:t>
      </w:r>
    </w:p>
    <w:p/>
    <w:p>
      <w:r>
        <w:rPr>
          <w:t xml:space="preserve">Read first time 01/20/22.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preservation and protection of facilities owned by the state parks and recreation commission that are listed on the Washington heritage register or the national register of historic places; amending RCW 82.29A.130;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2019 c 335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two thousand;</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two hundred thousand within a county with a population of less than one million five hundred thousand.</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0" w:after="0" w:line="408" w:lineRule="exact"/>
        <w:ind w:left="0" w:right="0" w:firstLine="576"/>
        <w:jc w:val="left"/>
      </w:pPr>
      <w:r>
        <w:rPr>
          <w:u w:val="single"/>
        </w:rPr>
        <w:t xml:space="preserve">(22) All leasehold interests in facilities owned by the state parks and recreation commission that are listed on the national register of historic places or the Washington heritage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25cc57439fd14c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cc808e8a24b83" /><Relationship Type="http://schemas.openxmlformats.org/officeDocument/2006/relationships/footer" Target="/word/footer1.xml" Id="R25cc57439fd14c53" /></Relationships>
</file>