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eff1fe82da4449" /></Relationships>
</file>

<file path=word/document.xml><?xml version="1.0" encoding="utf-8"?>
<w:document xmlns:w="http://schemas.openxmlformats.org/wordprocessingml/2006/main">
  <w:body>
    <w:p>
      <w:r>
        <w:t>H-2606.1</w:t>
      </w:r>
    </w:p>
    <w:p>
      <w:pPr>
        <w:jc w:val="center"/>
      </w:pPr>
      <w:r>
        <w:t>_______________________________________________</w:t>
      </w:r>
    </w:p>
    <w:p/>
    <w:p>
      <w:pPr>
        <w:jc w:val="center"/>
      </w:pPr>
      <w:r>
        <w:rPr>
          <w:b/>
        </w:rPr>
        <w:t>SECOND SUBSTITUTE HOUSE BILL 2038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Caldier and Eslick)</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children involved with child welfare services; amending RCW 74.13.031 and 74.14B.010; adding new sections to chapter 74.13 RCW; adding a new section to chapter 74.15 RCW; creating new sections; providing expiration dates;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(1)(a) The department shall provide exceptional cost payments and other nonmonetary supports to a licensed foster parent that receives placement of a child with high levels of service and support needs and who is at risk of placement disruption. The purpose of the exceptional cost payments and other nonmonetary supports under this section is to:</w:t>
      </w:r>
    </w:p>
    <w:p>
      <w:pPr>
        <w:spacing w:before="0" w:after="0" w:line="408" w:lineRule="exact"/>
        <w:ind w:left="0" w:right="0" w:firstLine="576"/>
        <w:jc w:val="left"/>
      </w:pPr>
      <w:r>
        <w:rPr/>
        <w:t xml:space="preserve">(i) Safely stabilize the child;</w:t>
      </w:r>
    </w:p>
    <w:p>
      <w:pPr>
        <w:spacing w:before="0" w:after="0" w:line="408" w:lineRule="exact"/>
        <w:ind w:left="0" w:right="0" w:firstLine="576"/>
        <w:jc w:val="left"/>
      </w:pPr>
      <w:r>
        <w:rPr/>
        <w:t xml:space="preserve">(ii) Meet the child's educational, behavioral health, or other support needs; and</w:t>
      </w:r>
    </w:p>
    <w:p>
      <w:pPr>
        <w:spacing w:before="0" w:after="0" w:line="408" w:lineRule="exact"/>
        <w:ind w:left="0" w:right="0" w:firstLine="576"/>
        <w:jc w:val="left"/>
      </w:pPr>
      <w:r>
        <w:rPr/>
        <w:t xml:space="preserve">(iii) Assist in achieving a permanent plan or less intensive placement arrangement.</w:t>
      </w:r>
    </w:p>
    <w:p>
      <w:pPr>
        <w:spacing w:before="0" w:after="0" w:line="408" w:lineRule="exact"/>
        <w:ind w:left="0" w:right="0" w:firstLine="576"/>
        <w:jc w:val="left"/>
      </w:pPr>
      <w:r>
        <w:rPr/>
        <w:t xml:space="preserve">(b) The high levels of service and support needs that may lead to exceptional cost payments under (a) of this subsection can include, but are not limited to:</w:t>
      </w:r>
    </w:p>
    <w:p>
      <w:pPr>
        <w:spacing w:before="0" w:after="0" w:line="408" w:lineRule="exact"/>
        <w:ind w:left="0" w:right="0" w:firstLine="576"/>
        <w:jc w:val="left"/>
      </w:pPr>
      <w:r>
        <w:rPr/>
        <w:t xml:space="preserve">(i) A history of placement instability due to a high level of service and support needs;</w:t>
      </w:r>
    </w:p>
    <w:p>
      <w:pPr>
        <w:spacing w:before="0" w:after="0" w:line="408" w:lineRule="exact"/>
        <w:ind w:left="0" w:right="0" w:firstLine="576"/>
        <w:jc w:val="left"/>
      </w:pPr>
      <w:r>
        <w:rPr/>
        <w:t xml:space="preserve">(ii) Moderate to high behavioral health service needs;</w:t>
      </w:r>
    </w:p>
    <w:p>
      <w:pPr>
        <w:spacing w:before="0" w:after="0" w:line="408" w:lineRule="exact"/>
        <w:ind w:left="0" w:right="0" w:firstLine="576"/>
        <w:jc w:val="left"/>
      </w:pPr>
      <w:r>
        <w:rPr/>
        <w:t xml:space="preserve">(iii) Disabilities or chronic health conditions that require a higher level of care; or</w:t>
      </w:r>
    </w:p>
    <w:p>
      <w:pPr>
        <w:spacing w:before="0" w:after="0" w:line="408" w:lineRule="exact"/>
        <w:ind w:left="0" w:right="0" w:firstLine="576"/>
        <w:jc w:val="left"/>
      </w:pPr>
      <w:r>
        <w:rPr/>
        <w:t xml:space="preserve">(iv) A need for intensive services.</w:t>
      </w:r>
    </w:p>
    <w:p>
      <w:pPr>
        <w:spacing w:before="0" w:after="0" w:line="408" w:lineRule="exact"/>
        <w:ind w:left="0" w:right="0" w:firstLine="576"/>
        <w:jc w:val="left"/>
      </w:pPr>
      <w:r>
        <w:rPr/>
        <w:t xml:space="preserve">(2)(a) The initial exceptional cost payment provided under subsection (1) of this section must be made upon placement of the child and must not be below 35 percent of the payment that would otherwise be provided to a behavioral rehabilitation services contractor that provides therapeutic foster care for the initial 30 days.</w:t>
      </w:r>
    </w:p>
    <w:p>
      <w:pPr>
        <w:spacing w:before="0" w:after="0" w:line="408" w:lineRule="exact"/>
        <w:ind w:left="0" w:right="0" w:firstLine="576"/>
        <w:jc w:val="left"/>
      </w:pPr>
      <w:r>
        <w:rPr/>
        <w:t xml:space="preserve">(b) Within the first 30 days, an ongoing foster care payment rate should be developed, and this foster care payment rate must be sufficient to cover transportation to and from medical appointments and other costs required to provide care for the child. The amount developed under this subsection may exceed the level four foster care payment rate.</w:t>
      </w:r>
    </w:p>
    <w:p>
      <w:pPr>
        <w:spacing w:before="0" w:after="0" w:line="408" w:lineRule="exact"/>
        <w:ind w:left="0" w:right="0" w:firstLine="576"/>
        <w:jc w:val="left"/>
      </w:pPr>
      <w:r>
        <w:rPr/>
        <w:t xml:space="preserve">(c) The department shall provide the amount developed in (b) of this subsection to the licensed foster parent for six months or until the child is no longer in the care of the foster parent.</w:t>
      </w:r>
    </w:p>
    <w:p>
      <w:pPr>
        <w:spacing w:before="0" w:after="0" w:line="408" w:lineRule="exact"/>
        <w:ind w:left="0" w:right="0" w:firstLine="576"/>
        <w:jc w:val="left"/>
      </w:pPr>
      <w:r>
        <w:rPr/>
        <w:t xml:space="preserve">(d) After the licensed foster parent has cared for the child for six months, the department shall determine whether:</w:t>
      </w:r>
    </w:p>
    <w:p>
      <w:pPr>
        <w:spacing w:before="0" w:after="0" w:line="408" w:lineRule="exact"/>
        <w:ind w:left="0" w:right="0" w:firstLine="576"/>
        <w:jc w:val="left"/>
      </w:pPr>
      <w:r>
        <w:rPr/>
        <w:t xml:space="preserve">(i) The child's behavioral health has stabilized;</w:t>
      </w:r>
    </w:p>
    <w:p>
      <w:pPr>
        <w:spacing w:before="0" w:after="0" w:line="408" w:lineRule="exact"/>
        <w:ind w:left="0" w:right="0" w:firstLine="576"/>
        <w:jc w:val="left"/>
      </w:pPr>
      <w:r>
        <w:rPr/>
        <w:t xml:space="preserve">(ii) The placement is meeting the child's educational, behavioral health, and other support needs; and</w:t>
      </w:r>
    </w:p>
    <w:p>
      <w:pPr>
        <w:spacing w:before="0" w:after="0" w:line="408" w:lineRule="exact"/>
        <w:ind w:left="0" w:right="0" w:firstLine="576"/>
        <w:jc w:val="left"/>
      </w:pPr>
      <w:r>
        <w:rPr/>
        <w:t xml:space="preserve">(iii) The exceptional cost payments are still necessary to support continued stability and assist in a permanent plan or less intensive placement arrangement.</w:t>
      </w:r>
    </w:p>
    <w:p>
      <w:pPr>
        <w:spacing w:before="0" w:after="0" w:line="408" w:lineRule="exact"/>
        <w:ind w:left="0" w:right="0" w:firstLine="576"/>
        <w:jc w:val="left"/>
      </w:pPr>
      <w:r>
        <w:rPr/>
        <w:t xml:space="preserve">(e) If the department determines that the exceptional cost payments are still necessary based on the criteria included under (d) of this subsection, the department shall negotiate an appropriate payment with the foster parent who is caring for the child meeting the description provided under subsection (1) of this section. This negotiated foster care payment should be sufficient to cover transportation to and from medical appointments and other costs required to provide care for the child.</w:t>
      </w:r>
    </w:p>
    <w:p>
      <w:pPr>
        <w:spacing w:before="0" w:after="0" w:line="408" w:lineRule="exact"/>
        <w:ind w:left="0" w:right="0" w:firstLine="576"/>
        <w:jc w:val="left"/>
      </w:pPr>
      <w:r>
        <w:rPr/>
        <w:t xml:space="preserve">(3) The department shall provide information to foster parents who are eligible for support under this section about what the exceptional cost payment and other nonmonetary support includes and can be used for.</w:t>
      </w:r>
    </w:p>
    <w:p>
      <w:pPr>
        <w:spacing w:before="0" w:after="0" w:line="408" w:lineRule="exact"/>
        <w:ind w:left="0" w:right="0" w:firstLine="576"/>
        <w:jc w:val="left"/>
      </w:pPr>
      <w:r>
        <w:rPr/>
        <w:t xml:space="preserve">(4) In order to receive exceptional cost payments under this section, a foster parent must have completed at least 10 hours of training within the last year that is related to the needs of the children that they are serving. The training required under this subsection does not count toward the training required for foster care licensure.</w:t>
      </w:r>
    </w:p>
    <w:p>
      <w:pPr>
        <w:spacing w:before="0" w:after="0" w:line="408" w:lineRule="exact"/>
        <w:ind w:left="0" w:right="0" w:firstLine="576"/>
        <w:jc w:val="left"/>
      </w:pPr>
      <w:r>
        <w:rPr/>
        <w:t xml:space="preserve">(5) Exceptional cost payments may not be provided to a foster parent who provides placement for the child only at night while the department provides supervision for the child during the day.</w:t>
      </w:r>
    </w:p>
    <w:p>
      <w:pPr>
        <w:spacing w:before="0" w:after="0" w:line="408" w:lineRule="exact"/>
        <w:ind w:left="0" w:right="0" w:firstLine="576"/>
        <w:jc w:val="left"/>
      </w:pPr>
      <w:r>
        <w:rPr/>
        <w:t xml:space="preserve">(6) The requirements of this section do not apply to the payments provided to foster parents who care for medically fragile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2020 c 274 s 61 are each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children with disabilities or behavioral health conditions, teens, pregnant and parenting teens, and the department shall annually report to the governor and the legislature concerning the department's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 the department may respond to a report of child abuse or neglect by using the family assessment response.</w:t>
      </w:r>
    </w:p>
    <w:p>
      <w:pPr>
        <w:spacing w:before="0" w:after="0" w:line="408" w:lineRule="exact"/>
        <w:ind w:left="0" w:right="0" w:firstLine="576"/>
        <w:jc w:val="left"/>
      </w:pPr>
      <w:r>
        <w:rPr/>
        <w:t xml:space="preserve">(5) The department shall offer, on a voluntary basis, family reconciliation services to families who are in conflict.</w:t>
      </w:r>
    </w:p>
    <w:p>
      <w:pPr>
        <w:spacing w:before="0" w:after="0" w:line="408" w:lineRule="exact"/>
        <w:ind w:left="0" w:right="0" w:firstLine="576"/>
        <w:jc w:val="left"/>
      </w:pPr>
      <w:r>
        <w:rPr/>
        <w:t xml:space="preserve">(6)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w:t>
      </w:r>
      <w:r>
        <w:t>((</w:t>
      </w:r>
      <w:r>
        <w:rPr>
          <w:strike/>
        </w:rPr>
        <w:t xml:space="preserve">ten</w:t>
      </w:r>
      <w:r>
        <w:t>))</w:t>
      </w:r>
      <w:r>
        <w:rPr/>
        <w:t xml:space="preserve"> </w:t>
      </w:r>
      <w:r>
        <w:rPr>
          <w:u w:val="single"/>
        </w:rPr>
        <w:t xml:space="preserve">10</w:t>
      </w:r>
      <w:r>
        <w:rPr/>
        <w:t xml:space="preserve">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rPr/>
        <w:t xml:space="preserve">(7)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w:t>
      </w:r>
      <w:r>
        <w:rPr>
          <w:u w:val="single"/>
        </w:rPr>
        <w:t xml:space="preserve">, including those required under section 1 of this act</w:t>
      </w:r>
      <w:r>
        <w:rPr/>
        <w:t xml:space="preserve">.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shall have authority to purchase care for children.</w:t>
      </w:r>
    </w:p>
    <w:p>
      <w:pPr>
        <w:spacing w:before="0" w:after="0" w:line="408" w:lineRule="exact"/>
        <w:ind w:left="0" w:right="0" w:firstLine="576"/>
        <w:jc w:val="left"/>
      </w:pPr>
      <w:r>
        <w:rPr/>
        <w:t xml:space="preserve">(10)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w:t>
      </w:r>
      <w:r>
        <w:t>((</w:t>
      </w:r>
      <w:r>
        <w:rPr>
          <w:strike/>
        </w:rPr>
        <w:t xml:space="preserve">eighty</w:t>
      </w:r>
      <w:r>
        <w:t>))</w:t>
      </w:r>
      <w:r>
        <w:rPr/>
        <w:t xml:space="preserve"> </w:t>
      </w:r>
      <w:r>
        <w:rPr>
          <w:u w:val="single"/>
        </w:rPr>
        <w:t xml:space="preserve">80</w:t>
      </w:r>
      <w:r>
        <w:rPr/>
        <w:t xml:space="preserve">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at the time that he or she reached age </w:t>
      </w:r>
      <w:r>
        <w:t>((</w:t>
      </w:r>
      <w:r>
        <w:rPr>
          <w:strike/>
        </w:rPr>
        <w:t xml:space="preserve">eighteen</w:t>
      </w:r>
      <w:r>
        <w:t>))</w:t>
      </w:r>
      <w:r>
        <w:rPr/>
        <w:t xml:space="preserve"> </w:t>
      </w:r>
      <w:r>
        <w:rPr>
          <w:u w:val="single"/>
        </w:rPr>
        <w:t xml:space="preserve">18</w:t>
      </w:r>
      <w:r>
        <w:rPr/>
        <w:t xml:space="preserve">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may request extended foster care services before reaching age </w:t>
      </w:r>
      <w:r>
        <w:t>((</w:t>
      </w:r>
      <w:r>
        <w:rPr>
          <w:strike/>
        </w:rPr>
        <w:t xml:space="preserve">twenty-one</w:t>
      </w:r>
      <w:r>
        <w:t>))</w:t>
      </w:r>
      <w:r>
        <w:rPr/>
        <w:t xml:space="preserve"> </w:t>
      </w:r>
      <w:r>
        <w:rPr>
          <w:u w:val="single"/>
        </w:rPr>
        <w:t xml:space="preserve">21</w:t>
      </w:r>
      <w:r>
        <w:rPr/>
        <w:t xml:space="preserve"> years. Eligible nonminor dependents may unenroll and reenroll in extended foster care through a voluntary placement agreement an unlimited number of times between ages </w:t>
      </w:r>
      <w:r>
        <w:t>((</w:t>
      </w:r>
      <w:r>
        <w:rPr>
          <w:strike/>
        </w:rPr>
        <w:t xml:space="preserve">eighteen</w:t>
      </w:r>
      <w:r>
        <w:t>))</w:t>
      </w:r>
      <w:r>
        <w:rPr/>
        <w:t xml:space="preserve"> </w:t>
      </w:r>
      <w:r>
        <w:rPr>
          <w:u w:val="single"/>
        </w:rPr>
        <w:t xml:space="preserve">18</w:t>
      </w:r>
      <w:r>
        <w:rPr/>
        <w:t xml:space="preserve"> and </w:t>
      </w:r>
      <w:r>
        <w:t>((</w:t>
      </w:r>
      <w:r>
        <w:rPr>
          <w:strike/>
        </w:rPr>
        <w:t xml:space="preserve">twenty-one</w:t>
      </w:r>
      <w:r>
        <w:t>))</w:t>
      </w:r>
      <w:r>
        <w:rPr/>
        <w:t xml:space="preserve"> </w:t>
      </w:r>
      <w:r>
        <w:rPr>
          <w:u w:val="single"/>
        </w:rPr>
        <w:t xml:space="preserve">21</w:t>
      </w:r>
      <w:r>
        <w:rPr/>
        <w:t xml:space="preserv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an unlimited number of times through a voluntary placement agreement when he or she meets the eligibility criteria again.</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w:t>
      </w:r>
      <w:r>
        <w:t>((</w:t>
      </w:r>
      <w:r>
        <w:rPr>
          <w:strike/>
        </w:rPr>
        <w:t xml:space="preserve">eighteen</w:t>
      </w:r>
      <w:r>
        <w:t>))</w:t>
      </w:r>
      <w:r>
        <w:rPr/>
        <w:t xml:space="preserve"> </w:t>
      </w:r>
      <w:r>
        <w:rPr>
          <w:u w:val="single"/>
        </w:rPr>
        <w:t xml:space="preserve">18</w:t>
      </w:r>
      <w:r>
        <w:rPr/>
        <w:t xml:space="preserve"> to </w:t>
      </w:r>
      <w:r>
        <w:t>((</w:t>
      </w:r>
      <w:r>
        <w:rPr>
          <w:strike/>
        </w:rPr>
        <w:t xml:space="preserve">twenty-one</w:t>
      </w:r>
      <w:r>
        <w:t>))</w:t>
      </w:r>
      <w:r>
        <w:rPr/>
        <w:t xml:space="preserve"> </w:t>
      </w:r>
      <w:r>
        <w:rPr>
          <w:u w:val="single"/>
        </w:rPr>
        <w:t xml:space="preserve">21</w:t>
      </w:r>
      <w:r>
        <w:rPr/>
        <w:t xml:space="preserve"> years who achieved permanency through adoption or a relative guardianship at age </w:t>
      </w:r>
      <w:r>
        <w:t>((</w:t>
      </w:r>
      <w:r>
        <w:rPr>
          <w:strike/>
        </w:rPr>
        <w:t xml:space="preserve">sixteen</w:t>
      </w:r>
      <w:r>
        <w:t>))</w:t>
      </w:r>
      <w:r>
        <w:rPr/>
        <w:t xml:space="preserve"> </w:t>
      </w:r>
      <w:r>
        <w:rPr>
          <w:u w:val="single"/>
        </w:rPr>
        <w:t xml:space="preserve">16</w:t>
      </w:r>
      <w:r>
        <w:rPr/>
        <w:t xml:space="preserve">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w:t>
      </w:r>
      <w:r>
        <w:t>((</w:t>
      </w:r>
      <w:r>
        <w:rPr>
          <w:strike/>
        </w:rPr>
        <w:t xml:space="preserve">eighteen</w:t>
      </w:r>
      <w:r>
        <w:t>))</w:t>
      </w:r>
      <w:r>
        <w:rPr/>
        <w:t xml:space="preserve"> </w:t>
      </w:r>
      <w:r>
        <w:rPr>
          <w:u w:val="single"/>
        </w:rPr>
        <w:t xml:space="preserve">18</w:t>
      </w:r>
      <w:r>
        <w:rPr/>
        <w:t xml:space="preserve"> through </w:t>
      </w:r>
      <w:r>
        <w:t>((</w:t>
      </w:r>
      <w:r>
        <w:rPr>
          <w:strike/>
        </w:rPr>
        <w:t xml:space="preserve">twenty</w:t>
      </w:r>
      <w:r>
        <w:t>))</w:t>
      </w:r>
      <w:r>
        <w:rPr/>
        <w:t xml:space="preserve"> </w:t>
      </w:r>
      <w:r>
        <w:rPr>
          <w:u w:val="single"/>
        </w:rPr>
        <w:t xml:space="preserve">20</w:t>
      </w:r>
      <w:r>
        <w:rPr/>
        <w:t xml:space="preserve"> shall not be referred to the division of child support unless required by federal law.</w:t>
      </w:r>
    </w:p>
    <w:p>
      <w:pPr>
        <w:spacing w:before="0" w:after="0" w:line="408" w:lineRule="exact"/>
        <w:ind w:left="0" w:right="0" w:firstLine="576"/>
        <w:jc w:val="left"/>
      </w:pPr>
      <w:r>
        <w:rPr/>
        <w:t xml:space="preserve">(14)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shall have authority to provide independent living services to youths, including individuals who have attained </w:t>
      </w:r>
      <w:r>
        <w:t>((</w:t>
      </w:r>
      <w:r>
        <w:rPr>
          <w:strike/>
        </w:rPr>
        <w:t xml:space="preserve">eighteen</w:t>
      </w:r>
      <w:r>
        <w:t>))</w:t>
      </w:r>
      <w:r>
        <w:rPr/>
        <w:t xml:space="preserve"> </w:t>
      </w:r>
      <w:r>
        <w:rPr>
          <w:u w:val="single"/>
        </w:rPr>
        <w:t xml:space="preserve">18</w:t>
      </w:r>
      <w:r>
        <w:rPr/>
        <w:t xml:space="preserve"> years of age, and have not attained </w:t>
      </w:r>
      <w:r>
        <w:t>((</w:t>
      </w:r>
      <w:r>
        <w:rPr>
          <w:strike/>
        </w:rPr>
        <w:t xml:space="preserve">twenty-three</w:t>
      </w:r>
      <w:r>
        <w:t>))</w:t>
      </w:r>
      <w:r>
        <w:rPr/>
        <w:t xml:space="preserve"> </w:t>
      </w:r>
      <w:r>
        <w:rPr>
          <w:u w:val="single"/>
        </w:rPr>
        <w:t xml:space="preserve">23</w:t>
      </w:r>
      <w:r>
        <w:rPr/>
        <w:t xml:space="preserve"> years of age, who are or have been in the department's care and custody, or who are or were nonminor dependents.</w:t>
      </w:r>
    </w:p>
    <w:p>
      <w:pPr>
        <w:spacing w:before="0" w:after="0" w:line="408" w:lineRule="exact"/>
        <w:ind w:left="0" w:right="0" w:firstLine="576"/>
        <w:jc w:val="left"/>
      </w:pPr>
      <w:r>
        <w:rPr/>
        <w:t xml:space="preserve">(17) The department shall consult at least quarterly with foster parents, including members of the foster parent association of Washington state, for the purpose of receiving information and comment regarding how the department is performing the duties and meeting the obligations specified in this section and RCW 74.13.250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t xml:space="preserve">(19)(a) The department shall have the authority to purchase legal representation for parents or kinship caregivers, or both, of children who are at risk of being dependent, or who are dependent, to establish or modify a parenting plan under RCW 13.34.155 or chapter 26.09, 26.26A, or 26.26B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010</w:t>
      </w:r>
      <w:r>
        <w:rPr/>
        <w:t xml:space="preserve"> and 2019 c 470 s 27 are each amended to read as follows:</w:t>
      </w:r>
    </w:p>
    <w:p>
      <w:pPr>
        <w:spacing w:before="0" w:after="0" w:line="408" w:lineRule="exact"/>
        <w:ind w:left="0" w:right="0" w:firstLine="576"/>
        <w:jc w:val="left"/>
      </w:pPr>
      <w:r>
        <w:rPr/>
        <w:t xml:space="preserve">(1) Child welfare workers shall meet minimum standards established by the department. Comprehensive training for child welfare workers shall be completed before such child welfare workers are assigned to case-carrying responsibilities as the sole worker assigned to a particular case. Intermittent, part-time, and standby child welfare workers shall be subject to the same minimum standards and training.</w:t>
      </w:r>
    </w:p>
    <w:p>
      <w:pPr>
        <w:spacing w:before="0" w:after="0" w:line="408" w:lineRule="exact"/>
        <w:ind w:left="0" w:right="0" w:firstLine="576"/>
        <w:jc w:val="left"/>
      </w:pPr>
      <w:r>
        <w:rPr/>
        <w:t xml:space="preserve">(2) Ongoing specialized training shall be provided for child welfare workers responsible for investigating child sexual abuse. Training participants shall have the opportunity to practice interview skills and receive feedback from instructors.</w:t>
      </w:r>
    </w:p>
    <w:p>
      <w:pPr>
        <w:spacing w:before="0" w:after="0" w:line="408" w:lineRule="exact"/>
        <w:ind w:left="0" w:right="0" w:firstLine="576"/>
        <w:jc w:val="left"/>
      </w:pPr>
      <w:r>
        <w:rPr/>
        <w:t xml:space="preserve">(3) The department, the criminal justice training commission, the Washington association of sheriffs and police chiefs, and the Washington association of prosecuting attorneys shall design and implement statewide training that contains consistent elements for persons engaged in the interviewing of children, including law enforcement, prosecution, and child protective services.</w:t>
      </w:r>
    </w:p>
    <w:p>
      <w:pPr>
        <w:spacing w:before="0" w:after="0" w:line="408" w:lineRule="exact"/>
        <w:ind w:left="0" w:right="0" w:firstLine="576"/>
        <w:jc w:val="left"/>
      </w:pPr>
      <w:r>
        <w:rPr/>
        <w:t xml:space="preserve">(4) The training required by this section shall: (a) Be based on research-based practices and standards; (b) minimize the trauma of all persons who are interviewed during abuse investigations; (c) provide methods of reducing the number of investigative interviews necessary whenever possible; (d) assure, to the extent possible, that investigative interviews are thorough, objective, and complete; (e) recognize needs of special populations, such as persons with developmental disabilities; (f) recognize the nature and consequences of victimization; (g) require investigative interviews to be conducted in a manner most likely to permit the interviewed persons the maximum emotional comfort under the circumstances; (h) address record retention and retrieval; (i) address documentation of investigative interviews; </w:t>
      </w:r>
      <w:r>
        <w:t>((</w:t>
      </w:r>
      <w:r>
        <w:rPr>
          <w:strike/>
        </w:rPr>
        <w:t xml:space="preserve">and</w:t>
      </w:r>
      <w:r>
        <w:t>))</w:t>
      </w:r>
      <w:r>
        <w:rPr/>
        <w:t xml:space="preserve"> (j) include self-care for child welfare workers</w:t>
      </w:r>
      <w:r>
        <w:rPr>
          <w:u w:val="single"/>
        </w:rPr>
        <w:t xml:space="preserve">; and (k) include best practices for finding appropriate placement options for children who experience a placement disruption, including working with foster parents to provide the necessary supports to allow such placement</w:t>
      </w:r>
      <w:r>
        <w:rPr/>
        <w:t xml:space="preserve">.</w:t>
      </w:r>
    </w:p>
    <w:p>
      <w:pPr>
        <w:spacing w:before="0" w:after="0" w:line="408" w:lineRule="exact"/>
        <w:ind w:left="0" w:right="0" w:firstLine="576"/>
        <w:jc w:val="left"/>
      </w:pPr>
      <w:r>
        <w:rPr/>
        <w:t xml:space="preserve">(5) The identification of domestic violence is critical in ensuring the safety of children in the child welfare system. It is also critical for child welfare workers to support victims of domestic violence while victims continue to care for their children, when possible, as domestic violence perpetrated against someone other than the child does not constitute negligent treatment or maltreatment in and of itself as provided in RCW 26.44.020. For these reasons, ongoing domestic violence training and consultation shall be provided to child welfare workers, including how to use the department's practice guide to domestic violence.</w:t>
      </w:r>
    </w:p>
    <w:p>
      <w:pPr>
        <w:spacing w:before="0" w:after="0" w:line="408" w:lineRule="exact"/>
        <w:ind w:left="0" w:right="0" w:firstLine="576"/>
        <w:jc w:val="left"/>
      </w:pPr>
      <w:r>
        <w:rPr/>
        <w:t xml:space="preserve">(6) By January 1, 2021, the department shall:</w:t>
      </w:r>
    </w:p>
    <w:p>
      <w:pPr>
        <w:spacing w:before="0" w:after="0" w:line="408" w:lineRule="exact"/>
        <w:ind w:left="0" w:right="0" w:firstLine="576"/>
        <w:jc w:val="left"/>
      </w:pPr>
      <w:r>
        <w:rPr/>
        <w:t xml:space="preserve">(a) Develop and implement an evidence-informed curriculum for supervisors providing support to child welfare workers to better prepare candidates for effective supervisory and leadership roles within the department;</w:t>
      </w:r>
    </w:p>
    <w:p>
      <w:pPr>
        <w:spacing w:before="0" w:after="0" w:line="408" w:lineRule="exact"/>
        <w:ind w:left="0" w:right="0" w:firstLine="576"/>
        <w:jc w:val="left"/>
      </w:pPr>
      <w:r>
        <w:rPr/>
        <w:t xml:space="preserve">(b) Develop specialized training for child welfare workers that includes simulation and coaching designed to improve clinical and analytical skills;</w:t>
      </w:r>
    </w:p>
    <w:p>
      <w:pPr>
        <w:spacing w:before="0" w:after="0" w:line="408" w:lineRule="exact"/>
        <w:ind w:left="0" w:right="0" w:firstLine="576"/>
        <w:jc w:val="left"/>
      </w:pPr>
      <w:r>
        <w:rPr/>
        <w:t xml:space="preserve">(c) </w:t>
      </w:r>
      <w:r>
        <w:t>((</w:t>
      </w:r>
      <w:r>
        <w:rPr>
          <w:strike/>
        </w:rPr>
        <w:t xml:space="preserve">Based on the report required under RCW 43.216.7501(3), develop</w:t>
      </w:r>
      <w:r>
        <w:t>))</w:t>
      </w:r>
      <w:r>
        <w:rPr/>
        <w:t xml:space="preserve"> </w:t>
      </w:r>
      <w:r>
        <w:rPr>
          <w:u w:val="single"/>
        </w:rPr>
        <w:t xml:space="preserve">Develop</w:t>
      </w:r>
      <w:r>
        <w:rPr/>
        <w:t xml:space="preserve"> and implement training for child welfare workers that incorporates trauma-informed care and reflective supervision principles.</w:t>
      </w:r>
    </w:p>
    <w:p>
      <w:pPr>
        <w:spacing w:before="0" w:after="0" w:line="408" w:lineRule="exact"/>
        <w:ind w:left="0" w:right="0" w:firstLine="576"/>
        <w:jc w:val="left"/>
      </w:pPr>
      <w:r>
        <w:rPr/>
        <w:t xml:space="preserve">(7) For purposes of this section, "child welfare worker" means an employee of the department whose job includes supporting or providing child welfare services as defined in RCW 74.13.020 or child protective services as defined in RCW 26.44.020.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shall design and implement a process for identifying individuals applying for foster family home licensure that are willing and able to accept placement of children who are at risk for placement instability, medically fragile children, and children with developmental disabilities.</w:t>
      </w:r>
    </w:p>
    <w:p>
      <w:pPr>
        <w:spacing w:before="0" w:after="0" w:line="408" w:lineRule="exact"/>
        <w:ind w:left="0" w:right="0" w:firstLine="576"/>
        <w:jc w:val="left"/>
      </w:pPr>
      <w:r>
        <w:rPr/>
        <w:t xml:space="preserve">(2) The department shall prioritize licensure for individuals identified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department shall dedicate employees to recruiting and retaining foster family homes that are willing and able to be a placement resource for children who are at risk for placement instability.</w:t>
      </w:r>
    </w:p>
    <w:p>
      <w:pPr>
        <w:spacing w:before="0" w:after="0" w:line="408" w:lineRule="exact"/>
        <w:ind w:left="0" w:right="0" w:firstLine="576"/>
        <w:jc w:val="left"/>
      </w:pPr>
      <w:r>
        <w:rPr/>
        <w:t xml:space="preserve">(2) By November 1, 2024, and in compliance with RCW 43.01.036, the department shall provide a report to the relevant committees of the legislature and the governor detailing:</w:t>
      </w:r>
    </w:p>
    <w:p>
      <w:pPr>
        <w:spacing w:before="0" w:after="0" w:line="408" w:lineRule="exact"/>
        <w:ind w:left="0" w:right="0" w:firstLine="576"/>
        <w:jc w:val="left"/>
      </w:pPr>
      <w:r>
        <w:rPr/>
        <w:t xml:space="preserve">(a) The efforts made to recruit and retain foster family homes under subsection (1) of this section;</w:t>
      </w:r>
    </w:p>
    <w:p>
      <w:pPr>
        <w:spacing w:before="0" w:after="0" w:line="408" w:lineRule="exact"/>
        <w:ind w:left="0" w:right="0" w:firstLine="576"/>
        <w:jc w:val="left"/>
      </w:pPr>
      <w:r>
        <w:rPr/>
        <w:t xml:space="preserve">(b) The change in the number of foster family homes willing and able to accept placement of children who are at risk for placement instability; and</w:t>
      </w:r>
    </w:p>
    <w:p>
      <w:pPr>
        <w:spacing w:before="0" w:after="0" w:line="408" w:lineRule="exact"/>
        <w:ind w:left="0" w:right="0" w:firstLine="576"/>
        <w:jc w:val="left"/>
      </w:pPr>
      <w:r>
        <w:rPr/>
        <w:t xml:space="preserve">(c) Recommendations for future efforts to successfully recruit and retain foster family homes willing and able to accept placement of children who are at risk for placement instability.</w:t>
      </w:r>
    </w:p>
    <w:p>
      <w:pPr>
        <w:spacing w:before="0" w:after="0" w:line="408" w:lineRule="exact"/>
        <w:ind w:left="0" w:right="0" w:firstLine="576"/>
        <w:jc w:val="left"/>
      </w:pPr>
      <w:r>
        <w:rPr/>
        <w:t xml:space="preserve">(3) This section expires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shall develop a plan for the phased-in implementation of an array of supports and services to be provided to licensed foster parents and licensed kinship care providers accepting placement of children and youth with moderate to high needs for services and supports. The array of services included in the plan required under this section may include, but is not limited to:</w:t>
      </w:r>
    </w:p>
    <w:p>
      <w:pPr>
        <w:spacing w:before="0" w:after="0" w:line="408" w:lineRule="exact"/>
        <w:ind w:left="0" w:right="0" w:firstLine="576"/>
        <w:jc w:val="left"/>
      </w:pPr>
      <w:r>
        <w:rPr/>
        <w:t xml:space="preserve">(a) Services provided through the department of social and health services developmental disability administration, and the health care authority;</w:t>
      </w:r>
    </w:p>
    <w:p>
      <w:pPr>
        <w:spacing w:before="0" w:after="0" w:line="408" w:lineRule="exact"/>
        <w:ind w:left="0" w:right="0" w:firstLine="576"/>
        <w:jc w:val="left"/>
      </w:pPr>
      <w:r>
        <w:rPr/>
        <w:t xml:space="preserve">(b) Case aides or other in-home providers;</w:t>
      </w:r>
    </w:p>
    <w:p>
      <w:pPr>
        <w:spacing w:before="0" w:after="0" w:line="408" w:lineRule="exact"/>
        <w:ind w:left="0" w:right="0" w:firstLine="576"/>
        <w:jc w:val="left"/>
      </w:pPr>
      <w:r>
        <w:rPr/>
        <w:t xml:space="preserve">(c) Behavioral supports;</w:t>
      </w:r>
    </w:p>
    <w:p>
      <w:pPr>
        <w:spacing w:before="0" w:after="0" w:line="408" w:lineRule="exact"/>
        <w:ind w:left="0" w:right="0" w:firstLine="576"/>
        <w:jc w:val="left"/>
      </w:pPr>
      <w:r>
        <w:rPr/>
        <w:t xml:space="preserve">(d) Respite services;</w:t>
      </w:r>
    </w:p>
    <w:p>
      <w:pPr>
        <w:spacing w:before="0" w:after="0" w:line="408" w:lineRule="exact"/>
        <w:ind w:left="0" w:right="0" w:firstLine="576"/>
        <w:jc w:val="left"/>
      </w:pPr>
      <w:r>
        <w:rPr/>
        <w:t xml:space="preserve">(e) Crisis support services; or</w:t>
      </w:r>
    </w:p>
    <w:p>
      <w:pPr>
        <w:spacing w:before="0" w:after="0" w:line="408" w:lineRule="exact"/>
        <w:ind w:left="0" w:right="0" w:firstLine="576"/>
        <w:jc w:val="left"/>
      </w:pPr>
      <w:r>
        <w:rPr/>
        <w:t xml:space="preserve">(f) Other identified service and support needs.</w:t>
      </w:r>
    </w:p>
    <w:p>
      <w:pPr>
        <w:spacing w:before="0" w:after="0" w:line="408" w:lineRule="exact"/>
        <w:ind w:left="0" w:right="0" w:firstLine="576"/>
        <w:jc w:val="left"/>
      </w:pPr>
      <w:r>
        <w:rPr/>
        <w:t xml:space="preserve">(2) The plan required under this section shall:</w:t>
      </w:r>
    </w:p>
    <w:p>
      <w:pPr>
        <w:spacing w:before="0" w:after="0" w:line="408" w:lineRule="exact"/>
        <w:ind w:left="0" w:right="0" w:firstLine="576"/>
        <w:jc w:val="left"/>
      </w:pPr>
      <w:r>
        <w:rPr/>
        <w:t xml:space="preserve">(a) Recommend adequate rates for placement resources; and</w:t>
      </w:r>
    </w:p>
    <w:p>
      <w:pPr>
        <w:spacing w:before="0" w:after="0" w:line="408" w:lineRule="exact"/>
        <w:ind w:left="0" w:right="0" w:firstLine="576"/>
        <w:jc w:val="left"/>
      </w:pPr>
      <w:r>
        <w:rPr/>
        <w:t xml:space="preserve">(b) Explore whether the department of children, youth, and families should develop a program through which an individual may become an independent case aide provider. This program would be administered as a contracted service.</w:t>
      </w:r>
    </w:p>
    <w:p>
      <w:pPr>
        <w:spacing w:before="0" w:after="0" w:line="408" w:lineRule="exact"/>
        <w:ind w:left="0" w:right="0" w:firstLine="576"/>
        <w:jc w:val="left"/>
      </w:pPr>
      <w:r>
        <w:rPr/>
        <w:t xml:space="preserve">(3) By September 30, 2022, and in compliance with RCW 43.01.036, the department of children, youth, and families shall provide a report to the governor and the appropriate committees of the legislature regarding the development of a plan as required under this section.</w:t>
      </w:r>
    </w:p>
    <w:p>
      <w:pPr>
        <w:spacing w:before="0" w:after="0" w:line="408" w:lineRule="exact"/>
        <w:ind w:left="0" w:right="0" w:firstLine="576"/>
        <w:jc w:val="left"/>
      </w:pPr>
      <w:r>
        <w:rPr/>
        <w:t xml:space="preserve">(4) This section expires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and 2 of this act expire when the department of children, youth, and families has completed an analysis of the needs of foster youth and implemented a comprehensive rate structure for entities providing care for foster youth that creates a continuum of care from basic foster care rates to behavior rehabilitation services.</w:t>
      </w:r>
    </w:p>
    <w:p>
      <w:pPr>
        <w:spacing w:before="0" w:after="0" w:line="408" w:lineRule="exact"/>
        <w:ind w:left="0" w:right="0" w:firstLine="576"/>
        <w:jc w:val="left"/>
      </w:pPr>
      <w:r>
        <w:rPr/>
        <w:t xml:space="preserve">(2) If the analysis described in subsection (1) of this section is completed, the department of children, youth, and families shall provide, in compliance with RCW 43.01.036, a report to the governor and the appropriate committees of the legislature that describes the comprehensive rate structure recommended by that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children, youth, and families must provide notice of the expiration date of sections 1 and 2 of this act to the affected parties, the chief clerk of the house of representatives, the secretary of the senate, the office of the code reviser, and others as deemed appropriate by the department of children, youth,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126348a17c8342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f735fc93634615" /><Relationship Type="http://schemas.openxmlformats.org/officeDocument/2006/relationships/footer" Target="/word/footer1.xml" Id="R126348a17c83423a" /></Relationships>
</file>