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762d426d8145f7" /></Relationships>
</file>

<file path=word/document.xml><?xml version="1.0" encoding="utf-8"?>
<w:document xmlns:w="http://schemas.openxmlformats.org/wordprocessingml/2006/main">
  <w:body>
    <w:p>
      <w:r>
        <w:t>H-2174.1</w:t>
      </w:r>
    </w:p>
    <w:p>
      <w:pPr>
        <w:jc w:val="center"/>
      </w:pPr>
      <w:r>
        <w:t>_______________________________________________</w:t>
      </w:r>
    </w:p>
    <w:p/>
    <w:p>
      <w:pPr>
        <w:jc w:val="center"/>
      </w:pPr>
      <w:r>
        <w:rPr>
          <w:b/>
        </w:rPr>
        <w:t>HOUSE BILL 2027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Fitzgibbon, Chapman, and Tharinger</w:t>
      </w:r>
    </w:p>
    <w:p/>
    <w:p>
      <w:r>
        <w:rPr>
          <w:t xml:space="preserve">Read first time 01/18/22.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governance structure of the department of fish and wildlife; adding a new section to chapter 77.04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convene a task force to provide recommendations to the legislature for the establishment of a new governance structure for the department of fish and wildlife, including restructuring or potentially eliminating the fish and wildlife commission. The legislature finds that collaborative, effective, accountable, and science-based administration of the duties of the department of fish and wildlife is necessary in order to better preserve, protect, and perpetuate the fish and wildlife species of the state and to better balance commercial and recreational uses with protection of the biodiversity and natural heritage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 joint legislative task force on governance of the department of fish and wildlife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one member representing each of the following entities:</w:t>
      </w:r>
    </w:p>
    <w:p>
      <w:pPr>
        <w:spacing w:before="0" w:after="0" w:line="408" w:lineRule="exact"/>
        <w:ind w:left="0" w:right="0" w:firstLine="576"/>
        <w:jc w:val="left"/>
      </w:pPr>
      <w:r>
        <w:rPr/>
        <w:t xml:space="preserve">(A) Hunters;</w:t>
      </w:r>
    </w:p>
    <w:p>
      <w:pPr>
        <w:spacing w:before="0" w:after="0" w:line="408" w:lineRule="exact"/>
        <w:ind w:left="0" w:right="0" w:firstLine="576"/>
        <w:jc w:val="left"/>
      </w:pPr>
      <w:r>
        <w:rPr/>
        <w:t xml:space="preserve">(B) Recreational fishers;</w:t>
      </w:r>
    </w:p>
    <w:p>
      <w:pPr>
        <w:spacing w:before="0" w:after="0" w:line="408" w:lineRule="exact"/>
        <w:ind w:left="0" w:right="0" w:firstLine="576"/>
        <w:jc w:val="left"/>
      </w:pPr>
      <w:r>
        <w:rPr/>
        <w:t xml:space="preserve">(C) Commercial fishers;</w:t>
      </w:r>
    </w:p>
    <w:p>
      <w:pPr>
        <w:spacing w:before="0" w:after="0" w:line="408" w:lineRule="exact"/>
        <w:ind w:left="0" w:right="0" w:firstLine="576"/>
        <w:jc w:val="left"/>
      </w:pPr>
      <w:r>
        <w:rPr/>
        <w:t xml:space="preserve">(D) The outdoor recreation industry;</w:t>
      </w:r>
    </w:p>
    <w:p>
      <w:pPr>
        <w:spacing w:before="0" w:after="0" w:line="408" w:lineRule="exact"/>
        <w:ind w:left="0" w:right="0" w:firstLine="576"/>
        <w:jc w:val="left"/>
      </w:pPr>
      <w:r>
        <w:rPr/>
        <w:t xml:space="preserve">(E) An organization focused on wildlife conservation;</w:t>
      </w:r>
    </w:p>
    <w:p>
      <w:pPr>
        <w:spacing w:before="0" w:after="0" w:line="408" w:lineRule="exact"/>
        <w:ind w:left="0" w:right="0" w:firstLine="576"/>
        <w:jc w:val="left"/>
      </w:pPr>
      <w:r>
        <w:rPr/>
        <w:t xml:space="preserve">(F) An organization focused on land conservation;</w:t>
      </w:r>
    </w:p>
    <w:p>
      <w:pPr>
        <w:spacing w:before="0" w:after="0" w:line="408" w:lineRule="exact"/>
        <w:ind w:left="0" w:right="0" w:firstLine="576"/>
        <w:jc w:val="left"/>
      </w:pPr>
      <w:r>
        <w:rPr/>
        <w:t xml:space="preserve">(G) An organization focused on marine fisheries conservation, freshwater fisheries conservation, or both;</w:t>
      </w:r>
    </w:p>
    <w:p>
      <w:pPr>
        <w:spacing w:before="0" w:after="0" w:line="408" w:lineRule="exact"/>
        <w:ind w:left="0" w:right="0" w:firstLine="576"/>
        <w:jc w:val="left"/>
      </w:pPr>
      <w:r>
        <w:rPr/>
        <w:t xml:space="preserve">(H) The agricultural business community;</w:t>
      </w:r>
    </w:p>
    <w:p>
      <w:pPr>
        <w:spacing w:before="0" w:after="0" w:line="408" w:lineRule="exact"/>
        <w:ind w:left="0" w:right="0" w:firstLine="576"/>
        <w:jc w:val="left"/>
      </w:pPr>
      <w:r>
        <w:rPr/>
        <w:t xml:space="preserve">(I) The business community;</w:t>
      </w:r>
    </w:p>
    <w:p>
      <w:pPr>
        <w:spacing w:before="0" w:after="0" w:line="408" w:lineRule="exact"/>
        <w:ind w:left="0" w:right="0" w:firstLine="576"/>
        <w:jc w:val="left"/>
      </w:pPr>
      <w:r>
        <w:rPr/>
        <w:t xml:space="preserve">(J) County government; and</w:t>
      </w:r>
    </w:p>
    <w:p>
      <w:pPr>
        <w:spacing w:before="0" w:after="0" w:line="408" w:lineRule="exact"/>
        <w:ind w:left="0" w:right="0" w:firstLine="576"/>
        <w:jc w:val="left"/>
      </w:pPr>
      <w:r>
        <w:rPr/>
        <w:t xml:space="preserve">(K) City government.</w:t>
      </w:r>
    </w:p>
    <w:p>
      <w:pPr>
        <w:spacing w:before="0" w:after="0" w:line="408" w:lineRule="exact"/>
        <w:ind w:left="0" w:right="0" w:firstLine="576"/>
        <w:jc w:val="left"/>
      </w:pPr>
      <w:r>
        <w:rPr/>
        <w:t xml:space="preserve">(iv) The governor, speaker of the house of representatives, and president of the senate shall jointly invite two members from federally recognized Indian tribes with treaty reserved rights in the state of Washington to participate in the task force.</w:t>
      </w:r>
    </w:p>
    <w:p>
      <w:pPr>
        <w:spacing w:before="0" w:after="0" w:line="408" w:lineRule="exact"/>
        <w:ind w:left="0" w:right="0" w:firstLine="576"/>
        <w:jc w:val="left"/>
      </w:pPr>
      <w:r>
        <w:rPr/>
        <w:t xml:space="preserve">(v) The governor shall appoint one member representing the department of fish and wildlife, one member representing the office of the governor, and one current or former member of the fish and wildlife commission to the task force.</w:t>
      </w:r>
    </w:p>
    <w:p>
      <w:pPr>
        <w:spacing w:before="0" w:after="0" w:line="408" w:lineRule="exact"/>
        <w:ind w:left="0" w:right="0" w:firstLine="576"/>
        <w:jc w:val="left"/>
      </w:pPr>
      <w:r>
        <w:rPr/>
        <w:t xml:space="preserve">(b) The president of the senate and the speaker of the house of representatives shall jointly appoint cochairs of the task force from among the members appointed to the task force. The appointed cochairs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Review options to restructure or eliminate the fish and wildlife commission and provide recommendations for a new governance structure for the department of fish and wildlife; and</w:t>
      </w:r>
    </w:p>
    <w:p>
      <w:pPr>
        <w:spacing w:before="0" w:after="0" w:line="408" w:lineRule="exact"/>
        <w:ind w:left="0" w:right="0" w:firstLine="576"/>
        <w:jc w:val="left"/>
      </w:pPr>
      <w:r>
        <w:rPr/>
        <w:t xml:space="preserve">(b) Consider changes to the mandate of the department of fish and wildlife and the fish and wildlife commission established in RCW 77.04.012.</w:t>
      </w:r>
    </w:p>
    <w:p>
      <w:pPr>
        <w:spacing w:before="0" w:after="0" w:line="408" w:lineRule="exact"/>
        <w:ind w:left="0" w:right="0" w:firstLine="576"/>
        <w:jc w:val="left"/>
      </w:pPr>
      <w:r>
        <w:rPr/>
        <w:t xml:space="preserve">(3) The senate committee services, the house of representative's office of program research, the office of the governor, and the department of fish and wildlife shall provide staff support to the task force.</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shall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by December 1, 2022.</w:t>
      </w:r>
    </w:p>
    <w:p>
      <w:pPr>
        <w:spacing w:before="0" w:after="0" w:line="408" w:lineRule="exact"/>
        <w:ind w:left="0" w:right="0" w:firstLine="576"/>
        <w:jc w:val="left"/>
      </w:pPr>
      <w:r>
        <w:rPr/>
        <w:t xml:space="preserve">(7) This section expires July 1, 2025.</w:t>
      </w:r>
    </w:p>
    <w:p/>
    <w:p>
      <w:pPr>
        <w:jc w:val="center"/>
      </w:pPr>
      <w:r>
        <w:rPr>
          <w:b/>
        </w:rPr>
        <w:t>--- END ---</w:t>
      </w:r>
    </w:p>
    <w:sectPr>
      <w:pgNumType w:start="1"/>
      <w:footerReference xmlns:r="http://schemas.openxmlformats.org/officeDocument/2006/relationships" r:id="Red852742acd141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c1da84257445d3" /><Relationship Type="http://schemas.openxmlformats.org/officeDocument/2006/relationships/footer" Target="/word/footer1.xml" Id="Red852742acd14192" /></Relationships>
</file>