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68d36da6477e" /></Relationships>
</file>

<file path=word/document.xml><?xml version="1.0" encoding="utf-8"?>
<w:document xmlns:w="http://schemas.openxmlformats.org/wordprocessingml/2006/main">
  <w:body>
    <w:p>
      <w:r>
        <w:t>H-1735.2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1960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Representatives Klippert, Jacobsen, Eslick, and Graham</w:t>
      </w:r>
    </w:p>
    <w:p/>
    <w:p>
      <w:r>
        <w:rPr>
          <w:t xml:space="preserve">Read first time 01/13/22.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housing of inmates in state correctional facilities; and adding a new section to chapter 72.09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72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inmate may not be housed in a correctional facility that primarily houses persons of a different biological sex than that of the inmate if the inmate has previously been convicted of a sex offense as defined in RCW 9.94A.030 against a victim whose biological sex is the same as those persons who are primarily housed in that correctional facility.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dd037fe763946e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1960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0ca4252e40e5" /><Relationship Type="http://schemas.openxmlformats.org/officeDocument/2006/relationships/footer" Target="/word/footer1.xml" Id="R7dd037fe763946ee" /></Relationships>
</file>