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c940ecd82a494e" /></Relationships>
</file>

<file path=word/document.xml><?xml version="1.0" encoding="utf-8"?>
<w:document xmlns:w="http://schemas.openxmlformats.org/wordprocessingml/2006/main">
  <w:body>
    <w:p>
      <w:r>
        <w:t>H-2573.1</w:t>
      </w:r>
    </w:p>
    <w:p>
      <w:pPr>
        <w:jc w:val="center"/>
      </w:pPr>
      <w:r>
        <w:t>_______________________________________________</w:t>
      </w:r>
    </w:p>
    <w:p/>
    <w:p>
      <w:pPr>
        <w:jc w:val="center"/>
      </w:pPr>
      <w:r>
        <w:rPr>
          <w:b/>
        </w:rPr>
        <w:t>SUBSTITUTE HOUSE BILL 1958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Capital Budget (originally sponsored by Representatives Berg, Boehnke, Chapman, Ryu, Paul, Peterson, Frame, and Taylor)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rural job growth and promoting economic recovery across Washington through a shovel-ready site certification program and grants; amending RCW 43.160.060;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a "shovel-ready" certification program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shovel-ready status,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2026, such grants may not exceed $200,000.</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develop and implement a shovel-ready certification program for the purpose of certifying sites seeking shovel-ready status designation.</w:t>
      </w:r>
    </w:p>
    <w:p>
      <w:pPr>
        <w:spacing w:before="0" w:after="0" w:line="408" w:lineRule="exact"/>
        <w:ind w:left="0" w:right="0" w:firstLine="576"/>
        <w:jc w:val="left"/>
      </w:pPr>
      <w:r>
        <w:rPr/>
        <w:t xml:space="preserve">(2) In developing the program, the department must consult with the community economic revitalization board, economic development professionals, industry leaders, and local governments. The department may consult with other interested parties at its discretion.</w:t>
      </w:r>
    </w:p>
    <w:p>
      <w:pPr>
        <w:spacing w:before="0" w:after="0" w:line="408" w:lineRule="exact"/>
        <w:ind w:left="0" w:right="0" w:firstLine="576"/>
        <w:jc w:val="left"/>
      </w:pPr>
      <w:r>
        <w:rPr/>
        <w:t xml:space="preserve">(3) The department must establish an application process for the program and criteria for certification.</w:t>
      </w:r>
    </w:p>
    <w:p>
      <w:pPr>
        <w:spacing w:before="0" w:after="0" w:line="408" w:lineRule="exact"/>
        <w:ind w:left="0" w:right="0" w:firstLine="576"/>
        <w:jc w:val="left"/>
      </w:pPr>
      <w:r>
        <w:rPr/>
        <w:t xml:space="preserve">(4) The department may adopt rules to implement this section.</w:t>
      </w:r>
    </w:p>
    <w:p/>
    <w:p>
      <w:pPr>
        <w:jc w:val="center"/>
      </w:pPr>
      <w:r>
        <w:rPr>
          <w:b/>
        </w:rPr>
        <w:t>--- END ---</w:t>
      </w:r>
    </w:p>
    <w:sectPr>
      <w:pgNumType w:start="1"/>
      <w:footerReference xmlns:r="http://schemas.openxmlformats.org/officeDocument/2006/relationships" r:id="Rffd1ed6095e540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123e3361fa4fc1" /><Relationship Type="http://schemas.openxmlformats.org/officeDocument/2006/relationships/footer" Target="/word/footer1.xml" Id="Rffd1ed6095e54092" /></Relationships>
</file>