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bb0729b7e4dcd" /></Relationships>
</file>

<file path=word/document.xml><?xml version="1.0" encoding="utf-8"?>
<w:document xmlns:w="http://schemas.openxmlformats.org/wordprocessingml/2006/main">
  <w:body>
    <w:p>
      <w:r>
        <w:t>H-2440.1</w:t>
      </w:r>
    </w:p>
    <w:p>
      <w:pPr>
        <w:jc w:val="center"/>
      </w:pPr>
      <w:r>
        <w:t>_______________________________________________</w:t>
      </w:r>
    </w:p>
    <w:p/>
    <w:p>
      <w:pPr>
        <w:jc w:val="center"/>
      </w:pPr>
      <w:r>
        <w:rPr>
          <w:b/>
        </w:rPr>
        <w:t>SUBSTITUTE HOUSE BILL 1827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Community &amp; Economic Development (originally sponsored by Representatives Morgan, Simmons, Ormsby, Harris-Talley, and Kloba; by request of Office of the Governor)</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community reinvestment account and community reinvestment program; amending RCW 43.84.092 and 43.84.092; adding a new section to chapter 43.79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address racial, economic, and social disparities in communities across the state created by the historical design and enforcement of state and federal criminal laws and penalties for drug possession and use in Washington state, aggressive approaches and targeted resources to support local design and control of community-based responses to these outcomes are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community reinvestment account is created in the state treasury. Moneys in the account may be spent only after appropriation. Expenditures from the account may only be made by the department of commerce for:</w:t>
      </w:r>
    </w:p>
    <w:p>
      <w:pPr>
        <w:spacing w:before="0" w:after="0" w:line="408" w:lineRule="exact"/>
        <w:ind w:left="0" w:right="0" w:firstLine="576"/>
        <w:jc w:val="left"/>
      </w:pPr>
      <w:r>
        <w:rPr/>
        <w:t xml:space="preserve">(1)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(2)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(3) Community-based violence intervention and prevention services;</w:t>
      </w:r>
    </w:p>
    <w:p>
      <w:pPr>
        <w:spacing w:before="0" w:after="0" w:line="408" w:lineRule="exact"/>
        <w:ind w:left="0" w:right="0" w:firstLine="576"/>
        <w:jc w:val="left"/>
      </w:pPr>
      <w:r>
        <w:rPr/>
        <w:t xml:space="preserve">(4) Reentry services to facilitate successful transitions for persons formerly incarcerated in an adult correctional facility or juvenile residential facility in Washington; and</w:t>
      </w:r>
    </w:p>
    <w:p>
      <w:pPr>
        <w:spacing w:before="0" w:after="0" w:line="408" w:lineRule="exact"/>
        <w:ind w:left="0" w:right="0" w:firstLine="576"/>
        <w:jc w:val="left"/>
      </w:pPr>
      <w:r>
        <w:rPr/>
        <w:t xml:space="preserve">(5) Supporting statutory priorities for 911 funding, 911 emergency communications system procurement, operation, management, administrative costs, modernization, training, public education, hardware, software, technology, and support for public safety answering points.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2021 c 199 s 504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community reinvestment account,</w:t>
      </w:r>
      <w:r>
        <w:rPr/>
        <w:t xml:space="preserve">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2021 c 199 s 505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community reinvestment account,</w:t>
      </w:r>
      <w:r>
        <w:rPr/>
        <w:t xml:space="preserve">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2024.</w:t>
      </w:r>
    </w:p>
    <w:p/>
    <w:p>
      <w:pPr>
        <w:jc w:val="center"/>
      </w:pPr>
      <w:r>
        <w:rPr>
          <w:b/>
        </w:rPr>
        <w:t>--- END ---</w:t>
      </w:r>
    </w:p>
    <w:sectPr>
      <w:pgNumType w:start="1"/>
      <w:footerReference xmlns:r="http://schemas.openxmlformats.org/officeDocument/2006/relationships" r:id="R8e22218208a64b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d1ae53060a4e54" /><Relationship Type="http://schemas.openxmlformats.org/officeDocument/2006/relationships/footer" Target="/word/footer1.xml" Id="R8e22218208a64bff" /></Relationships>
</file>