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ff09c645a547f5" /></Relationships>
</file>

<file path=word/document.xml><?xml version="1.0" encoding="utf-8"?>
<w:document xmlns:w="http://schemas.openxmlformats.org/wordprocessingml/2006/main">
  <w:body>
    <w:p>
      <w:r>
        <w:t>H-1666.1</w:t>
      </w:r>
    </w:p>
    <w:p>
      <w:pPr>
        <w:jc w:val="center"/>
      </w:pPr>
      <w:r>
        <w:t>_______________________________________________</w:t>
      </w:r>
    </w:p>
    <w:p/>
    <w:p>
      <w:pPr>
        <w:jc w:val="center"/>
      </w:pPr>
      <w:r>
        <w:rPr>
          <w:b/>
        </w:rPr>
        <w:t>HOUSE BILL 1754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Hackney, Kirby, Berry, Valdez, Ramel, Simmons, Bergquist, and Ormsby</w:t>
      </w:r>
    </w:p>
    <w:p/>
    <w:p>
      <w:r>
        <w:rPr>
          <w:t xml:space="preserve">Prefiled 01/04/22.</w:t>
        </w:rPr>
      </w:r>
      <w:r>
        <w:rPr>
          <w:t xml:space="preserve">Read first time 01/10/22.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prejudgment interest; and amending RCW 4.56.110.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2019 c 371 s 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w:t>
      </w:r>
      <w:r>
        <w:t>((</w:t>
      </w:r>
      <w:r>
        <w:rPr>
          <w:strike/>
        </w:rPr>
        <w:t xml:space="preserve">of entry</w:t>
      </w:r>
      <w:r>
        <w:t>))</w:t>
      </w:r>
      <w:r>
        <w:rPr/>
        <w:t xml:space="preserve"> </w:t>
      </w:r>
      <w:r>
        <w:rPr>
          <w:u w:val="single"/>
        </w:rPr>
        <w:t xml:space="preserve">the cause of action accrued</w:t>
      </w:r>
      <w:r>
        <w:rPr/>
        <w:t xml:space="preserve">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w:t>
      </w:r>
      <w:r>
        <w:t>((</w:t>
      </w:r>
      <w:r>
        <w:rPr>
          <w:strike/>
        </w:rPr>
        <w:t xml:space="preserve">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r>
        <w:t>))</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w:t>
      </w:r>
      <w:r>
        <w:t>((</w:t>
      </w:r>
      <w:r>
        <w:rPr>
          <w:strike/>
        </w:rPr>
        <w:t xml:space="preserve">of entry</w:t>
      </w:r>
      <w:r>
        <w:t>))</w:t>
      </w:r>
      <w:r>
        <w:rPr/>
        <w:t xml:space="preserve"> </w:t>
      </w:r>
      <w:r>
        <w:rPr>
          <w:u w:val="single"/>
        </w:rPr>
        <w:t xml:space="preserve">the cause of action accrued</w:t>
      </w:r>
      <w:r>
        <w:rPr/>
        <w:t xml:space="preserve"> at two percentage points above the prime rate, as published by the board of governors of the federal reserve system on the first business day of the calendar month immediately preceding the date of entry. </w:t>
      </w:r>
      <w:r>
        <w:t>((</w:t>
      </w:r>
      <w:r>
        <w:rPr>
          <w:strike/>
        </w:rPr>
        <w:t xml:space="preserve">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r>
        <w:t>))</w:t>
      </w:r>
    </w:p>
    <w:p>
      <w:pPr>
        <w:spacing w:before="0" w:after="0" w:line="408" w:lineRule="exact"/>
        <w:ind w:left="0" w:right="0" w:firstLine="576"/>
        <w:jc w:val="left"/>
      </w:pPr>
      <w:r>
        <w:rPr/>
        <w:t xml:space="preserve">(4) 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t xml:space="preserve">(5) Except as provided under subsection (1) of this section, judgments for unpaid consumer debt, as defined in RCW 6.01.060, shall bear interest from the date of entry at a rate of nine percent.</w:t>
      </w:r>
    </w:p>
    <w:p>
      <w:pPr>
        <w:spacing w:before="0" w:after="0" w:line="408" w:lineRule="exact"/>
        <w:ind w:left="0" w:right="0" w:firstLine="576"/>
        <w:jc w:val="left"/>
      </w:pPr>
      <w:r>
        <w:rPr/>
        <w:t xml:space="preserve">(6) Except as provided under subsections (1) through (5)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
      <w:pPr>
        <w:jc w:val="center"/>
      </w:pPr>
      <w:r>
        <w:rPr>
          <w:b/>
        </w:rPr>
        <w:t>--- END ---</w:t>
      </w:r>
    </w:p>
    <w:sectPr>
      <w:pgNumType w:start="1"/>
      <w:footerReference xmlns:r="http://schemas.openxmlformats.org/officeDocument/2006/relationships" r:id="R453bed369be04e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752c65c4694489" /><Relationship Type="http://schemas.openxmlformats.org/officeDocument/2006/relationships/footer" Target="/word/footer1.xml" Id="R453bed369be04e6f" /></Relationships>
</file>