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55ea15bc1048a1" /></Relationships>
</file>

<file path=word/document.xml><?xml version="1.0" encoding="utf-8"?>
<w:document xmlns:w="http://schemas.openxmlformats.org/wordprocessingml/2006/main">
  <w:body>
    <w:p>
      <w:r>
        <w:t>H-2310.1</w:t>
      </w:r>
    </w:p>
    <w:p>
      <w:pPr>
        <w:jc w:val="center"/>
      </w:pPr>
      <w:r>
        <w:t>_______________________________________________</w:t>
      </w:r>
    </w:p>
    <w:p/>
    <w:p>
      <w:pPr>
        <w:jc w:val="center"/>
      </w:pPr>
      <w:r>
        <w:rPr>
          <w:b/>
        </w:rPr>
        <w:t>SUBSTITUTE HOUSE BILL 1747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Children, Youth &amp; Families (originally sponsored by Representatives Ortiz-Self, Taylor, Davis, Peterson, Ryu, Orwall, Dolan, Simmons, Ramos, Wicks, Valdez, Fitzgibbon, Morgan, Stonier, Goodman, Ormsby, Macri, Harris-Talley, and Frame)</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relative placements in child welfare proceedings; and amending RCW 13.34.145, 13.34.180, 13.34.210, and 74.13.062.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2020 c 312 s 118 are each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w:t>
      </w:r>
      <w:r>
        <w:t>((</w:t>
      </w:r>
      <w:r>
        <w:rPr>
          <w:strike/>
        </w:rPr>
        <w:t xml:space="preserve">twelve</w:t>
      </w:r>
      <w:r>
        <w:t>))</w:t>
      </w:r>
      <w:r>
        <w:rPr/>
        <w:t xml:space="preserve"> </w:t>
      </w:r>
      <w:r>
        <w:rPr>
          <w:u w:val="single"/>
        </w:rPr>
        <w:t xml:space="preserve">12</w:t>
      </w:r>
      <w:r>
        <w:rPr/>
        <w:t xml:space="preser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w:t>
      </w:r>
      <w:r>
        <w:t>((</w:t>
      </w:r>
      <w:r>
        <w:rPr>
          <w:strike/>
        </w:rPr>
        <w:t xml:space="preserve">twelve</w:t>
      </w:r>
      <w:r>
        <w:t>))</w:t>
      </w:r>
      <w:r>
        <w:rPr/>
        <w:t xml:space="preserve"> </w:t>
      </w:r>
      <w:r>
        <w:rPr>
          <w:u w:val="single"/>
        </w:rPr>
        <w:t xml:space="preserve">12</w:t>
      </w:r>
      <w:r>
        <w:rPr/>
        <w:t xml:space="preser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w:t>
      </w:r>
      <w:r>
        <w:t>((</w:t>
      </w:r>
      <w:r>
        <w:rPr>
          <w:strike/>
        </w:rPr>
        <w:t xml:space="preserve">fifteen</w:t>
      </w:r>
      <w:r>
        <w:t>))</w:t>
      </w:r>
      <w:r>
        <w:rPr/>
        <w:t xml:space="preserve"> </w:t>
      </w:r>
      <w:r>
        <w:rPr>
          <w:u w:val="single"/>
        </w:rPr>
        <w:t xml:space="preserve">15</w:t>
      </w:r>
      <w:r>
        <w:rPr/>
        <w:t xml:space="preserve">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w:t>
      </w:r>
      <w:r>
        <w:t>((</w:t>
      </w:r>
      <w:r>
        <w:rPr>
          <w:strike/>
        </w:rPr>
        <w:t xml:space="preserve">ten</w:t>
      </w:r>
      <w:r>
        <w:t>))</w:t>
      </w:r>
      <w:r>
        <w:rPr/>
        <w:t xml:space="preserve"> </w:t>
      </w:r>
      <w:r>
        <w:rPr>
          <w:u w:val="single"/>
        </w:rPr>
        <w:t xml:space="preserve">10</w:t>
      </w:r>
      <w:r>
        <w:rPr/>
        <w:t xml:space="preserve">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w:t>
      </w:r>
      <w:r>
        <w:t>((</w:t>
      </w:r>
      <w:r>
        <w:rPr>
          <w:strike/>
        </w:rPr>
        <w:t xml:space="preserve">seventeen</w:t>
      </w:r>
      <w:r>
        <w:t>))</w:t>
      </w:r>
      <w:r>
        <w:rPr/>
        <w:t xml:space="preserve"> </w:t>
      </w:r>
      <w:r>
        <w:rPr>
          <w:u w:val="single"/>
        </w:rPr>
        <w:t xml:space="preserve">17</w:t>
      </w:r>
      <w:r>
        <w:rPr/>
        <w:t xml:space="preserve"> years but not older than </w:t>
      </w:r>
      <w:r>
        <w:t>((</w:t>
      </w:r>
      <w:r>
        <w:rPr>
          <w:strike/>
        </w:rPr>
        <w:t xml:space="preserve">seventeen</w:t>
      </w:r>
      <w:r>
        <w:t>))</w:t>
      </w:r>
      <w:r>
        <w:rPr/>
        <w:t xml:space="preserve"> </w:t>
      </w:r>
      <w:r>
        <w:rPr>
          <w:u w:val="single"/>
        </w:rPr>
        <w:t xml:space="preserve">17</w:t>
      </w:r>
      <w:r>
        <w:rPr/>
        <w:t xml:space="preserve"> years and six months, the department shall provide the youth with written documentation which explains the availability of extended foster care services and detailed instructions regarding how the youth may access such services after he or she reaches age </w:t>
      </w:r>
      <w:r>
        <w:t>((</w:t>
      </w:r>
      <w:r>
        <w:rPr>
          <w:strike/>
        </w:rPr>
        <w:t xml:space="preserve">eighteen</w:t>
      </w:r>
      <w:r>
        <w:t>))</w:t>
      </w:r>
      <w:r>
        <w:rPr/>
        <w:t xml:space="preserve"> </w:t>
      </w:r>
      <w:r>
        <w:rPr>
          <w:u w:val="single"/>
        </w:rPr>
        <w:t xml:space="preserve">18</w:t>
      </w:r>
      <w:r>
        <w:rPr/>
        <w:t xml:space="preserve">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w:t>
      </w:r>
      <w:r>
        <w:t>((</w:t>
      </w:r>
      <w:r>
        <w:rPr>
          <w:strike/>
        </w:rPr>
        <w:t xml:space="preserve">fifteen</w:t>
      </w:r>
      <w:r>
        <w:t>))</w:t>
      </w:r>
      <w:r>
        <w:rPr/>
        <w:t xml:space="preserve"> </w:t>
      </w:r>
      <w:r>
        <w:rPr>
          <w:u w:val="single"/>
        </w:rPr>
        <w:t xml:space="preserve">15</w:t>
      </w:r>
      <w:r>
        <w:rPr/>
        <w:t xml:space="preserve"> of the most recent </w:t>
      </w:r>
      <w:r>
        <w:t>((</w:t>
      </w:r>
      <w:r>
        <w:rPr>
          <w:strike/>
        </w:rPr>
        <w:t xml:space="preserve">twenty-two</w:t>
      </w:r>
      <w:r>
        <w:t>))</w:t>
      </w:r>
      <w:r>
        <w:rPr/>
        <w:t xml:space="preserve"> </w:t>
      </w:r>
      <w:r>
        <w:rPr>
          <w:u w:val="single"/>
        </w:rPr>
        <w:t xml:space="preserve">22</w:t>
      </w:r>
      <w:r>
        <w:rPr/>
        <w:t xml:space="preserve">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(c) Regardless of whether the primary permanency planning goal has been achieved, for a child who remains placed in a qualified residential treatment program as defined in this chapter for at least </w:t>
      </w:r>
      <w:r>
        <w:t>((</w:t>
      </w:r>
      <w:r>
        <w:rPr>
          <w:strike/>
        </w:rPr>
        <w:t xml:space="preserve">sixty</w:t>
      </w:r>
      <w:r>
        <w:t>))</w:t>
      </w:r>
      <w:r>
        <w:rPr/>
        <w:t xml:space="preserve"> </w:t>
      </w:r>
      <w:r>
        <w:rPr>
          <w:u w:val="single"/>
        </w:rPr>
        <w:t xml:space="preserve">60</w:t>
      </w:r>
      <w:r>
        <w:rPr/>
        <w:t xml:space="preserve"> days, and remains placed there at subsequent permanency planning hearings, the court shall establish in writing:</w:t>
      </w:r>
    </w:p>
    <w:p>
      <w:pPr>
        <w:spacing w:before="0" w:after="0" w:line="408" w:lineRule="exact"/>
        <w:ind w:left="0" w:right="0" w:firstLine="576"/>
        <w:jc w:val="left"/>
      </w:pPr>
      <w:r>
        <w:rPr/>
        <w:t xml:space="preserve">(i)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(ii) Whether the child's placement provides the most effective and appropriate level of care in the least restrictive environment;</w:t>
      </w:r>
    </w:p>
    <w:p>
      <w:pPr>
        <w:spacing w:before="0" w:after="0" w:line="408" w:lineRule="exact"/>
        <w:ind w:left="0" w:right="0" w:firstLine="576"/>
        <w:jc w:val="left"/>
      </w:pPr>
      <w:r>
        <w:rPr/>
        <w:t xml:space="preserve">(iii) Whether the placement is consistent with the child's short and long-term goals as stated in the child's permanency plan;</w:t>
      </w:r>
    </w:p>
    <w:p>
      <w:pPr>
        <w:spacing w:before="0" w:after="0" w:line="408" w:lineRule="exact"/>
        <w:ind w:left="0" w:right="0" w:firstLine="576"/>
        <w:jc w:val="left"/>
      </w:pPr>
      <w:r>
        <w:rPr/>
        <w:t xml:space="preserve">(iv)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(v) What efforts the department has made to prepare the child to return home or be placed with a fit and willing relative as defined in RCW 13.34.030, a Title 13 RCW guardian, a guardian pursuant to RCW 11.130.215, an adoptive parent, or in a foster family home.</w:t>
      </w:r>
    </w:p>
    <w:p>
      <w:pPr>
        <w:spacing w:before="0" w:after="0" w:line="408" w:lineRule="exact"/>
        <w:ind w:left="0" w:right="0" w:firstLine="576"/>
        <w:jc w:val="left"/>
      </w:pPr>
      <w:r>
        <w:rPr/>
        <w:t xml:space="preserve">(5) Following this inquiry, at the permanency planning hearing, the court shall order the department to file a petition seeking termination of parental rights if the child has been in out-of-home care for </w:t>
      </w:r>
      <w:r>
        <w:t>((</w:t>
      </w:r>
      <w:r>
        <w:rPr>
          <w:strike/>
        </w:rPr>
        <w:t xml:space="preserve">fifteen</w:t>
      </w:r>
      <w:r>
        <w:t>))</w:t>
      </w:r>
      <w:r>
        <w:rPr/>
        <w:t xml:space="preserve"> </w:t>
      </w:r>
      <w:r>
        <w:rPr>
          <w:u w:val="single"/>
        </w:rPr>
        <w:t xml:space="preserve">15</w:t>
      </w:r>
      <w:r>
        <w:rPr/>
        <w:t xml:space="preserve"> of the last </w:t>
      </w:r>
      <w:r>
        <w:t>((</w:t>
      </w:r>
      <w:r>
        <w:rPr>
          <w:strike/>
        </w:rPr>
        <w:t xml:space="preserve">twenty-two</w:t>
      </w:r>
      <w:r>
        <w:t>))</w:t>
      </w:r>
      <w:r>
        <w:rPr/>
        <w:t xml:space="preserve"> </w:t>
      </w:r>
      <w:r>
        <w:rPr>
          <w:u w:val="single"/>
        </w:rPr>
        <w:t xml:space="preserve">22</w:t>
      </w:r>
      <w:r>
        <w:rPr/>
        <w:t xml:space="preserve">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w:t>
      </w:r>
      <w:r>
        <w:t>((</w:t>
      </w:r>
      <w:r>
        <w:rPr>
          <w:strike/>
        </w:rPr>
        <w:t xml:space="preserve">fifteen</w:t>
      </w:r>
      <w:r>
        <w:t>))</w:t>
      </w:r>
      <w:r>
        <w:rPr/>
        <w:t xml:space="preserve"> </w:t>
      </w:r>
      <w:r>
        <w:rPr>
          <w:u w:val="single"/>
        </w:rPr>
        <w:t xml:space="preserve">15</w:t>
      </w:r>
      <w:r>
        <w:rPr/>
        <w:t xml:space="preserve"> of the last </w:t>
      </w:r>
      <w:r>
        <w:t>((</w:t>
      </w:r>
      <w:r>
        <w:rPr>
          <w:strike/>
        </w:rPr>
        <w:t xml:space="preserve">twenty-two</w:t>
      </w:r>
      <w:r>
        <w:t>))</w:t>
      </w:r>
      <w:r>
        <w:rPr/>
        <w:t xml:space="preserve"> </w:t>
      </w:r>
      <w:r>
        <w:rPr>
          <w:u w:val="single"/>
        </w:rPr>
        <w:t xml:space="preserve">22</w:t>
      </w:r>
      <w:r>
        <w:rPr/>
        <w:t xml:space="preserve">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w:t>
      </w:r>
      <w:r>
        <w:t>((</w:t>
      </w:r>
      <w:r>
        <w:rPr>
          <w:strike/>
        </w:rPr>
        <w:t xml:space="preserve">or</w:t>
      </w:r>
      <w:r>
        <w:t>))</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r>
        <w:rPr>
          <w:u w:val="single"/>
        </w:rPr>
        <w:t xml:space="preserve">; or</w:t>
      </w:r>
    </w:p>
    <w:p>
      <w:pPr>
        <w:spacing w:before="0" w:after="0" w:line="408" w:lineRule="exact"/>
        <w:ind w:left="0" w:right="0" w:firstLine="576"/>
        <w:jc w:val="left"/>
      </w:pPr>
      <w:r>
        <w:rPr>
          <w:u w:val="single"/>
        </w:rPr>
        <w:t xml:space="preserve">(vii) The department has not yet met with the caregiver for the child to discuss guardianship as an alternative to adoption or the court has determined that guardianship is an appropriate permanent plan</w:t>
      </w:r>
      <w:r>
        <w:rPr/>
        <w:t xml:space="preserv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w:t>
      </w:r>
      <w:r>
        <w:t>((</w:t>
      </w:r>
      <w:r>
        <w:rPr>
          <w:strike/>
        </w:rPr>
        <w:t xml:space="preserve">If the department is recommending a placement other than the child's current placement with a foster parent, relative, or other suitable person, enter a finding as to the reasons for the recommendation for a change in placement.</w:t>
      </w:r>
      <w:r>
        <w:t>))</w:t>
      </w:r>
      <w:r>
        <w:rPr/>
        <w:t xml:space="preserve"> </w:t>
      </w:r>
      <w:r>
        <w:rPr>
          <w:u w:val="single"/>
        </w:rPr>
        <w:t xml:space="preserve">Instruct the department to discuss guardianship as a permanent option for the child with the child's parents and caregiver as an alternative to termination of parental rights and adoption. No child who is placed with a relative or other suitable person may be moved, unless, pursuant to the criteria established in RCW 13.34.130, the court finds that a change in circumstances necessitates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department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w:t>
      </w:r>
      <w:r>
        <w:t>((</w:t>
      </w:r>
      <w:r>
        <w:rPr>
          <w:strike/>
        </w:rPr>
        <w:t xml:space="preserve">twelve</w:t>
      </w:r>
      <w:r>
        <w:t>))</w:t>
      </w:r>
      <w:r>
        <w:rPr/>
        <w:t xml:space="preserve"> </w:t>
      </w:r>
      <w:r>
        <w:rPr>
          <w:u w:val="single"/>
        </w:rPr>
        <w:t xml:space="preserve">12</w:t>
      </w:r>
      <w:r>
        <w:rPr/>
        <w:t xml:space="preser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department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2018 c 284 s 20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w:t>
      </w:r>
      <w:r>
        <w:t>((</w:t>
      </w:r>
      <w:r>
        <w:rPr>
          <w:strike/>
        </w:rPr>
        <w:t xml:space="preserve">twelve</w:t>
      </w:r>
      <w:r>
        <w:t>))</w:t>
      </w:r>
      <w:r>
        <w:rPr/>
        <w:t xml:space="preserve"> </w:t>
      </w:r>
      <w:r>
        <w:rPr>
          <w:u w:val="single"/>
        </w:rPr>
        <w:t xml:space="preserve">12</w:t>
      </w:r>
      <w:r>
        <w:rPr/>
        <w:t xml:space="preser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w:t>
      </w:r>
      <w:r>
        <w:rPr>
          <w:u w:val="single"/>
        </w:rPr>
        <w:t xml:space="preserve">In making this determination, the court must consider the efforts taken by the department to support a guardianship and whether a guardianship is available as a permanent option for the child.</w:t>
      </w:r>
      <w:r>
        <w:rPr/>
        <w:t xml:space="preserve"> If the parent is incarcerated, the court shall consider whether a parent maintains a meaningful role in his or her child's life based on factors identified in RCW 13.34.145(5)(b); whether the department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0"/>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children, youth, and families or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210</w:t>
      </w:r>
      <w:r>
        <w:rPr/>
        <w:t xml:space="preserve"> and 2020 c 312 s 120 are each amended to read as follows:</w:t>
      </w:r>
    </w:p>
    <w:p>
      <w:pPr>
        <w:spacing w:before="0" w:after="0" w:line="408" w:lineRule="exact"/>
        <w:ind w:left="0" w:right="0" w:firstLine="576"/>
        <w:jc w:val="left"/>
      </w:pPr>
      <w:r>
        <w:rPr/>
        <w:t xml:space="preserve">If, upon entering an order terminating the parental rights of a parent, there remains no parent having parental rights, the court shall commit the child to the custody of the department willing to accept custody for the purpose of placing the child for adoption. If an adoptive home has not been identified, the department shall place the child in a licensed foster home, or take other suitable measures for the care and welfare of the child. </w:t>
      </w:r>
      <w:r>
        <w:rPr>
          <w:u w:val="single"/>
        </w:rPr>
        <w:t xml:space="preserve">The placement standards provided in RCW 13.34.130 continue to apply throughout the life of the case, except that the court need not consider whether reunification with the parent will be hindered when evaluating relative placements.</w:t>
      </w:r>
      <w:r>
        <w:rPr/>
        <w:t xml:space="preserve"> The custodian shall have authority to consent to the adoption of the child consistent with chapter 26.33 RCW, the marriage of the child, the enlistment of the child in the armed forces of the United States, necessary surgical and other medical treatment for the child, and to consent to such other matters as might normally be required of the parent of the child.</w:t>
      </w:r>
    </w:p>
    <w:p>
      <w:pPr>
        <w:spacing w:before="0" w:after="0" w:line="408" w:lineRule="exact"/>
        <w:ind w:left="0" w:right="0" w:firstLine="576"/>
        <w:jc w:val="left"/>
      </w:pPr>
      <w:r>
        <w:rPr/>
        <w:t xml:space="preserve">If a child has not been adopted within six months after the date of the order and a guardianship of the child under chapter 13.36 RCW or a guardianship of a minor under RCW 11.130.215 has not been entered by the court, the court shall review the case every six months until a decree of adoption is entered. The department shall take reasonable steps to ensure that the child maintains relationships with siblings as provided in RCW 13.34.130(7) and shall report to the court the status and extent of such relationships.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2017 3rd sp.s. c 6 s 404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 </w:t>
      </w:r>
      <w:r>
        <w:rPr>
          <w:u w:val="single"/>
        </w:rPr>
        <w:t xml:space="preserve">or as a guardian of a minor under RCW 11.130.215</w:t>
      </w:r>
      <w:r>
        <w:rPr/>
        <w:t xml:space="preserve">.</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unless doing so would compromise the child's safety, or would adversely affect the state's ability to continue to obtain federal funding for child welfare related functions.</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
      <w:pPr>
        <w:jc w:val="center"/>
      </w:pPr>
      <w:r>
        <w:rPr>
          <w:b/>
        </w:rPr>
        <w:t>--- END ---</w:t>
      </w:r>
    </w:p>
    <w:sectPr>
      <w:pgNumType w:start="1"/>
      <w:footerReference xmlns:r="http://schemas.openxmlformats.org/officeDocument/2006/relationships" r:id="R593453aaa9954c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032a60b9984603" /><Relationship Type="http://schemas.openxmlformats.org/officeDocument/2006/relationships/footer" Target="/word/footer1.xml" Id="R593453aaa9954c0d" /></Relationships>
</file>