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a290d84c44ad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1687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Bergquist, Leavitt, Ramel, Sells, J. Johnson, Bateman, Valdez, Paul, Callan, Davis, Goodman, Gregerson, Taylor, Ramos, Santos, Sullivan, Riccelli, Harris-Talley, Hackney, and Kloba</w:t>
      </w:r>
    </w:p>
    <w:p/>
    <w:p>
      <w:r>
        <w:rPr>
          <w:t xml:space="preserve">Prefiled 12/22/21.</w:t>
        </w:rPr>
      </w:r>
      <w:r>
        <w:rPr>
          <w:t xml:space="preserve">Read first time 01/10/22.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college bound scholarship program by increasing opportunities for students to attend community and technical colleges; amending RCW 28B.118.010 and 28B.118.090;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college bound scholarship is an important financial aid program that prompts students to begin to have a college-going mindset early in high school. The data indicates that since the first cohort of college bound scholarship students, there were just under 5,000 students who were college bound scholarship applicants, but had grade point averages below 2.0. Despite not meeting the requirements to receive the college bound scholarship, these students still went on to pursue postsecondary education. The legislature recognizes that community and technical colleges do not require a certain grade point average to enroll, but that strong academic performance is still a requirement for direct admittance to a four-year institution of higher education from high school. Since the legislature believes that many students who may not have performed well academically in high school can still thrive at a community and technical college, it is the legislature's intent to keep students' dreams of higher education alive by allowing students without a "C" average to still qualify for college bound scholarships.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2021 c 283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w:t>
      </w:r>
      <w:r>
        <w:t>((</w:t>
      </w:r>
      <w:r>
        <w:rPr>
          <w:strike/>
        </w:rPr>
        <w:t xml:space="preserve">twelve</w:t>
      </w:r>
      <w:r>
        <w:t>))</w:t>
      </w:r>
      <w:r>
        <w:rPr/>
        <w:t xml:space="preserve"> </w:t>
      </w:r>
      <w:r>
        <w:rPr>
          <w:u w:val="single"/>
        </w:rPr>
        <w:t xml:space="preserve">12</w:t>
      </w:r>
      <w:r>
        <w:rPr/>
        <w:t xml:space="preserve">; or</w:t>
      </w:r>
    </w:p>
    <w:p>
      <w:pPr>
        <w:spacing w:before="0" w:after="0" w:line="408" w:lineRule="exact"/>
        <w:ind w:left="0" w:right="0" w:firstLine="576"/>
        <w:jc w:val="left"/>
      </w:pPr>
      <w:r>
        <w:rPr/>
        <w:t xml:space="preserve">(ii) Are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and have not graduated from high school; or</w:t>
      </w:r>
    </w:p>
    <w:p>
      <w:pPr>
        <w:spacing w:before="0" w:after="0" w:line="408" w:lineRule="exact"/>
        <w:ind w:left="0" w:right="0" w:firstLine="576"/>
        <w:jc w:val="left"/>
      </w:pPr>
      <w:r>
        <w:rPr/>
        <w:t xml:space="preserve">(c) Were dependent pursuant to chapter 13.34 RCW and were adopted between the ages of </w:t>
      </w:r>
      <w:r>
        <w:t>((</w:t>
      </w:r>
      <w:r>
        <w:rPr>
          <w:strike/>
        </w:rPr>
        <w:t xml:space="preserve">fourteen</w:t>
      </w:r>
      <w:r>
        <w:t>))</w:t>
      </w:r>
      <w:r>
        <w:rPr/>
        <w:t xml:space="preserve"> </w:t>
      </w:r>
      <w:r>
        <w:rPr>
          <w:u w:val="single"/>
        </w:rPr>
        <w:t xml:space="preserve">14</w:t>
      </w:r>
      <w:r>
        <w:rPr/>
        <w:t xml:space="preserve"> and </w:t>
      </w:r>
      <w:r>
        <w:t>((</w:t>
      </w:r>
      <w:r>
        <w:rPr>
          <w:strike/>
        </w:rPr>
        <w:t xml:space="preserve">eighteen</w:t>
      </w:r>
      <w:r>
        <w:t>))</w:t>
      </w:r>
      <w:r>
        <w:rPr/>
        <w:t xml:space="preserve"> </w:t>
      </w:r>
      <w:r>
        <w:rPr>
          <w:u w:val="single"/>
        </w:rPr>
        <w:t xml:space="preserve">18</w:t>
      </w:r>
      <w:r>
        <w:rPr/>
        <w:t xml:space="preserve">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w:t>
      </w:r>
      <w:r>
        <w:rPr>
          <w:u w:val="single"/>
        </w:rPr>
        <w:t xml:space="preserve">(i)</w:t>
      </w:r>
      <w:r>
        <w:rPr/>
        <w:t xml:space="preserve"> Graduate </w:t>
      </w:r>
      <w:r>
        <w:t>((</w:t>
      </w:r>
      <w:r>
        <w:rPr>
          <w:strike/>
        </w:rPr>
        <w:t xml:space="preserve">with at least a "C" average</w:t>
      </w:r>
      <w:r>
        <w:t>))</w:t>
      </w:r>
      <w:r>
        <w:rPr/>
        <w:t xml:space="preserve"> from a public high school under RCW 28A.150.010, an approved private high school under chapter 28A.195 RCW in Washington, or have received home-based instruction under chapter 28A.200 RCW; </w:t>
      </w:r>
      <w:r>
        <w:rPr>
          <w:u w:val="single"/>
        </w:rPr>
        <w:t xml:space="preserve">and</w:t>
      </w:r>
    </w:p>
    <w:p>
      <w:pPr>
        <w:spacing w:before="0" w:after="0" w:line="408" w:lineRule="exact"/>
        <w:ind w:left="0" w:right="0" w:firstLine="576"/>
        <w:jc w:val="left"/>
      </w:pPr>
      <w:r>
        <w:rPr>
          <w:u w:val="single"/>
        </w:rPr>
        <w:t xml:space="preserve">(ii) For eligible students enrolling in a postsecondary educational institution for the first time beginning with the 2022-23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t>((</w:t>
      </w:r>
      <w:r>
        <w:rPr>
          <w:strike/>
        </w:rPr>
        <w:t xml:space="preserve">(c)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if the requirement in subsection (3)(a) of this section is met.</w:t>
      </w:r>
      <w:r>
        <w:t>))</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Eligible students may receive no more than four full-time years' worth of scholarship awards within a five-year period.</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(11)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2021 c 283 s 4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enrolled students for the college bound scholarship program in seventh, eighth, or ninth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r>
        <w:rPr>
          <w:u w:val="single"/>
        </w:rPr>
        <w:t xml:space="preserve">, including how many enroll who graduated high school with less than a "C" average</w:t>
      </w:r>
      <w:r>
        <w:rPr/>
        <w:t xml:space="preserve">;</w:t>
      </w:r>
    </w:p>
    <w:p>
      <w:pPr>
        <w:spacing w:before="0" w:after="0" w:line="408" w:lineRule="exact"/>
        <w:ind w:left="0" w:right="0" w:firstLine="576"/>
        <w:jc w:val="left"/>
      </w:pPr>
      <w:r>
        <w:rPr/>
        <w:t xml:space="preserve">(d) Persistence and completion rates of college bound scholarship recipients disaggregated by institutions of higher education </w:t>
      </w:r>
      <w:r>
        <w:rPr>
          <w:u w:val="single"/>
        </w:rPr>
        <w:t xml:space="preserve">and by high school grade point average</w:t>
      </w:r>
      <w:r>
        <w:rPr/>
        <w:t xml:space="preserve">;</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Washington college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0" w:after="0" w:line="408" w:lineRule="exact"/>
        <w:ind w:left="0" w:right="0" w:firstLine="576"/>
        <w:jc w:val="left"/>
      </w:pPr>
      <w:r>
        <w:rPr>
          <w:u w:val="single"/>
        </w:rPr>
        <w:t xml:space="preserve">(3) Beginning July 1, 2023, and annually thereafter, the education data center shall submit to the student achievement council the data listed in this section that is submitted by institutions of higher education for the purposes of completing the annual legislative report required by this section.</w:t>
      </w:r>
    </w:p>
    <w:p>
      <w:pPr>
        <w:spacing w:before="0" w:after="0" w:line="408" w:lineRule="exact"/>
        <w:ind w:left="0" w:right="0" w:firstLine="576"/>
        <w:jc w:val="left"/>
      </w:pPr>
      <w:r>
        <w:rPr>
          <w:u w:val="single"/>
        </w:rPr>
        <w:t xml:space="preserve">(4) Beginning November 1, 2023, and annually thereafter, the student achievement council shall submit a report to the higher education committees of the legislature in accordance with RCW 43.01.036 on the data listed in this section.</w:t>
      </w:r>
    </w:p>
    <w:p/>
    <w:p>
      <w:pPr>
        <w:jc w:val="center"/>
      </w:pPr>
      <w:r>
        <w:rPr>
          <w:b/>
        </w:rPr>
        <w:t>--- END ---</w:t>
      </w:r>
    </w:p>
    <w:sectPr>
      <w:pgNumType w:start="1"/>
      <w:footerReference xmlns:r="http://schemas.openxmlformats.org/officeDocument/2006/relationships" r:id="Rb00f744e677640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0b44db1424eae" /><Relationship Type="http://schemas.openxmlformats.org/officeDocument/2006/relationships/footer" Target="/word/footer1.xml" Id="Rb00f744e67764047" /></Relationships>
</file>