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4c76f8714437" /></Relationships>
</file>

<file path=word/document.xml><?xml version="1.0" encoding="utf-8"?>
<w:document xmlns:w="http://schemas.openxmlformats.org/wordprocessingml/2006/main">
  <w:body>
    <w:p>
      <w:r>
        <w:t>H-2181.1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Bateman, Maycumber, Leavitt, Graham, Dolan, Cody, Griffey, and Riccelli)</w:t>
      </w:r>
    </w:p>
    <w:p/>
    <w:p>
      <w:r>
        <w:rPr>
          <w:t xml:space="preserve">READ FIRST TIME 01/20/22.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a manufacturer of certain dialysate and dialysis devices used by home dialysis patients or a manufacturer's agent from the pharmacy practices act and legend drug act; and amending RCW 18.64.257 and 69.41.032.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.</w:t>
      </w:r>
      <w:r>
        <w:t xml:space="preserve">257</w:t>
      </w:r>
      <w:r>
        <w:rPr/>
        <w:t xml:space="preserve"> and 2013 c 19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its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</w:t>
      </w:r>
      <w:r>
        <w:rPr>
          <w:u w:val="single"/>
        </w:rPr>
        <w:t xml:space="preserve">dialysis devices and</w:t>
      </w:r>
      <w:r>
        <w:rPr/>
        <w:t xml:space="preserve">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032</w:t>
      </w:r>
      <w:r>
        <w:rPr/>
        <w:t xml:space="preserve"> and 2016 c 148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</w:t>
      </w:r>
      <w:r>
        <w:t>((</w:t>
      </w:r>
      <w:r>
        <w:rPr>
          <w:strike/>
        </w:rPr>
        <w:t xml:space="preserve">its</w:t>
      </w:r>
      <w:r>
        <w:t>))</w:t>
      </w:r>
      <w:r>
        <w:rPr/>
        <w:t xml:space="preserve">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a5fba7e2eb43a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b899ed5bf423f" /><Relationship Type="http://schemas.openxmlformats.org/officeDocument/2006/relationships/footer" Target="/word/footer1.xml" Id="R28a5fba7e2eb43a7" /></Relationships>
</file>