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1acc9c4f624e98" /></Relationships>
</file>

<file path=word/document.xml><?xml version="1.0" encoding="utf-8"?>
<w:document xmlns:w="http://schemas.openxmlformats.org/wordprocessingml/2006/main">
  <w:body>
    <w:p>
      <w:r>
        <w:t>H-2311.1</w:t>
      </w:r>
    </w:p>
    <w:p>
      <w:pPr>
        <w:jc w:val="center"/>
      </w:pPr>
      <w:r>
        <w:t>_______________________________________________</w:t>
      </w:r>
    </w:p>
    <w:p/>
    <w:p>
      <w:pPr>
        <w:jc w:val="center"/>
      </w:pPr>
      <w:r>
        <w:rPr>
          <w:b/>
        </w:rPr>
        <w:t>SUBSTITUTE HOUSE BILL 1664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Education (originally sponsored by Representatives Rule, Stonier, Shewmake, Senn, Ramel, Wicks, J. Johnson, Callan, Berg, Cody, Davis, Goodman, Leavitt, Santos, Simmons, Kloba, Pollet, Riccelli, Harris-Talley, Hackney, and Frame)</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prototypical school formulas for physical, social, and emotional support in schools; amending RCW 28A.400.007; reenacting and amending RCW 28A.150.260 and 28A.150.260; adding a new section to chapter 28A.150 RCW; adding a new section to chapter 28A.300 RCW;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Each public school, as defined in RCW 28A.150.010, shall have at
least one school nurse and one counselor on site, dedicated to serving
the students of that public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February 1, 2023, and by February 1st every odd-numbered year thereafter, the office of the superintendent of public instruction shall submit, in accordance with RCW 43.01.036, to the appropriate committees of the legislature a report analyzing the implementation of RCW 28A.150.260(5)(b), related to physical, social, and emotional support staff.</w:t>
      </w:r>
    </w:p>
    <w:p>
      <w:pPr>
        <w:spacing w:before="0" w:after="0" w:line="408" w:lineRule="exact"/>
        <w:ind w:left="0" w:right="0" w:firstLine="576"/>
        <w:jc w:val="left"/>
      </w:pPr>
      <w:r>
        <w:rPr/>
        <w:t xml:space="preserve">(2) For the analysis, the office of the superintendent of public instruction must use personnel data reported on or around October 1st of the report year and the prior year, and any other relevant data.</w:t>
      </w:r>
    </w:p>
    <w:p>
      <w:pPr>
        <w:spacing w:before="0" w:after="0" w:line="408" w:lineRule="exact"/>
        <w:ind w:left="0" w:right="0" w:firstLine="576"/>
        <w:jc w:val="left"/>
      </w:pPr>
      <w:r>
        <w:rPr/>
        <w:t xml:space="preserve">(3) Except as provided in subsection (4) of this section, the report must:</w:t>
      </w:r>
    </w:p>
    <w:p>
      <w:pPr>
        <w:spacing w:before="0" w:after="0" w:line="408" w:lineRule="exact"/>
        <w:ind w:left="0" w:right="0" w:firstLine="576"/>
        <w:jc w:val="left"/>
      </w:pPr>
      <w:r>
        <w:rPr/>
        <w:t xml:space="preserve">(a) Compare the staffing units provided for nurses, social workers, psychologists, counselors, classified staff providing student and staff safety, and parent involvement coordinators under RCW 28A.150.260(5) to the actual school district staffing levels for physical, social, and emotional support staff, disaggregate by school district; and</w:t>
      </w:r>
    </w:p>
    <w:p>
      <w:pPr>
        <w:spacing w:before="0" w:after="0" w:line="408" w:lineRule="exact"/>
        <w:ind w:left="0" w:right="0" w:firstLine="576"/>
        <w:jc w:val="left"/>
      </w:pPr>
      <w:r>
        <w:rPr/>
        <w:t xml:space="preserve">(b) Analyze trends with respect to: (i) Employed staff and contract staff; and (ii) the percentage of staff with a valid educational staff associate certificate. These trends must be disaggregated by assignment duty code, as well as analyzed year over year and by school district size and geography.</w:t>
      </w:r>
    </w:p>
    <w:p>
      <w:pPr>
        <w:spacing w:before="0" w:after="0" w:line="408" w:lineRule="exact"/>
        <w:ind w:left="0" w:right="0" w:firstLine="576"/>
        <w:jc w:val="left"/>
      </w:pPr>
      <w:r>
        <w:rPr/>
        <w:t xml:space="preserve">(4) For the report due February 1, 2023, the office of the superintendent of public instruction is required to complete the analysis described in subsection (3) of this section only to the extent that relevant data are available.</w:t>
      </w:r>
    </w:p>
    <w:p>
      <w:pPr>
        <w:spacing w:before="0" w:after="0" w:line="408" w:lineRule="exact"/>
        <w:ind w:left="0" w:right="0" w:firstLine="576"/>
        <w:jc w:val="left"/>
      </w:pPr>
      <w:r>
        <w:rPr/>
        <w:t xml:space="preserve">(5) For the purposes of this section, "physical, social, and emotional support staff" or "staff" has the same meaning as in RCW 28A.150.260(5)(b).</w:t>
      </w:r>
    </w:p>
    <w:p>
      <w:pPr>
        <w:spacing w:before="0" w:after="0" w:line="408" w:lineRule="exact"/>
        <w:ind w:left="0" w:right="0" w:firstLine="576"/>
        <w:jc w:val="left"/>
      </w:pPr>
      <w:r>
        <w:rPr/>
        <w:t xml:space="preserve">(6)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u w:val="single"/>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u w:val="single"/>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u w:val="single"/>
        </w:rPr>
        <w:t xml:space="preserve">(c) For the 2023-24 school year, in addition to the minimum allocation under (a) of this subsection, the following additional staffing units for each level of prototypical school will be provided for nurses: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0.243</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u w:val="single"/>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u w:val="single"/>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2017 3rd sp.s. c 13 s 904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0.5090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0.8280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0.7280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0.2690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0.1120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0.7840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0.9610</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0.3480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t>((</w:t>
      </w:r>
      <w:r>
        <w:rPr>
          <w:strike/>
        </w:rPr>
        <w:t xml:space="preserve">4.00</w:t>
      </w:r>
      <w:r>
        <w:t>))</w:t>
      </w:r>
      <w:r>
        <w:rPr/>
        <w:t xml:space="preserve"> </w:t>
      </w:r>
      <w:r>
        <w:rPr>
          <w:u w:val="single"/>
        </w:rPr>
        <w:t xml:space="preserve">3.00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September 1, 2024.</w:t>
      </w:r>
    </w:p>
    <w:p/>
    <w:p>
      <w:pPr>
        <w:jc w:val="center"/>
      </w:pPr>
      <w:r>
        <w:rPr>
          <w:b/>
        </w:rPr>
        <w:t>--- END ---</w:t>
      </w:r>
    </w:p>
    <w:sectPr>
      <w:pgNumType w:start="1"/>
      <w:footerReference xmlns:r="http://schemas.openxmlformats.org/officeDocument/2006/relationships" r:id="R9d2f42024faa4b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8fd17d6ecc4eda" /><Relationship Type="http://schemas.openxmlformats.org/officeDocument/2006/relationships/footer" Target="/word/footer1.xml" Id="R9d2f42024faa4bd4" /></Relationships>
</file>