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b12dee9d1488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Senn, Berg, Ryu, Berry, Wicks, Bateman, Ramel, Fitzgibbon, Sells, Walen, Valdez, Callan, Cody, Davis, Goodman, Taylor, Macri, Peterson, Ramos, Santos, Slatter, Bergquist, Tharinger, Kloba, Pollet, Harris-Talley, Hackney, and Frame)</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restrictions on the possession of weapons in certain locations; amending RCW 9.41.280 and 9.41.305; reenacting RCW 9.41.280; adding a new section to chapter 9.41 RCW;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2019 c 325 s 5001 are each amended to read as follows:</w:t>
      </w:r>
    </w:p>
    <w:p>
      <w:pPr>
        <w:spacing w:before="0" w:after="0" w:line="408" w:lineRule="exact"/>
        <w:ind w:left="0" w:right="0" w:firstLine="576"/>
        <w:jc w:val="left"/>
      </w:pPr>
      <w:r>
        <w:rPr/>
        <w:t xml:space="preserve">(1) It is unlawful for a person to </w:t>
      </w:r>
      <w:r>
        <w:rPr>
          <w:u w:val="single"/>
        </w:rPr>
        <w:t xml:space="preserve">knowingly</w:t>
      </w:r>
      <w:r>
        <w:rPr/>
        <w:t xml:space="preserve"> carry onto, or to possess on, public or private elementary or secondary school premises, school-provided transportation, </w:t>
      </w:r>
      <w:r>
        <w:t>((</w:t>
      </w:r>
      <w:r>
        <w:rPr>
          <w:strike/>
        </w:rPr>
        <w:t xml:space="preserve">or</w:t>
      </w:r>
      <w:r>
        <w:t>))</w:t>
      </w:r>
      <w:r>
        <w:rPr/>
        <w:t xml:space="preserve"> areas of facilities while being used exclusively by public or private schools</w:t>
      </w:r>
      <w:r>
        <w:rPr>
          <w:u w:val="single"/>
        </w:rPr>
        <w:t xml:space="preserve">, or areas of facilities while being used for official meetings of a school district board of directors</w:t>
      </w:r>
      <w:r>
        <w:rPr/>
        <w:t xml:space="preserv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u w:val="single"/>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305</w:t>
      </w:r>
      <w:r>
        <w:rPr/>
        <w:t xml:space="preserve"> and 2021 c 261 s 2 are each amended to read as follows:</w:t>
      </w:r>
    </w:p>
    <w:p>
      <w:pPr>
        <w:spacing w:before="0" w:after="0" w:line="408" w:lineRule="exact"/>
        <w:ind w:left="0" w:right="0" w:firstLine="576"/>
        <w:jc w:val="left"/>
      </w:pPr>
      <w:r>
        <w:rPr/>
        <w:t xml:space="preserve">(1) Unless exempt under subsection </w:t>
      </w:r>
      <w:r>
        <w:t>((</w:t>
      </w:r>
      <w:r>
        <w:rPr>
          <w:strike/>
        </w:rPr>
        <w:t xml:space="preserve">(4)</w:t>
      </w:r>
      <w:r>
        <w:t>))</w:t>
      </w:r>
      <w:r>
        <w:rPr/>
        <w:t xml:space="preserve"> </w:t>
      </w:r>
      <w:r>
        <w:rPr>
          <w:u w:val="single"/>
        </w:rPr>
        <w:t xml:space="preserve">(3)</w:t>
      </w:r>
      <w:r>
        <w:rPr/>
        <w:t xml:space="preserve"> of this section, it is unlawful for any person to knowingly open carry a firearm or other weapon, as defined in RCW 9.41.300(1)(b), while knowingly being in the following locations: </w:t>
      </w:r>
    </w:p>
    <w:p>
      <w:pPr>
        <w:spacing w:before="0" w:after="0" w:line="408" w:lineRule="exact"/>
        <w:ind w:left="0" w:right="0" w:firstLine="576"/>
        <w:jc w:val="left"/>
      </w:pPr>
      <w:r>
        <w:rPr>
          <w:u w:val="single"/>
        </w:rPr>
        <w:t xml:space="preserve">(a)</w:t>
      </w:r>
      <w:r>
        <w:rPr/>
        <w:t xml:space="preserve"> The west state capitol campus grounds; any buildings on the state capitol grounds; any state legislative office; or any location of a public </w:t>
      </w:r>
      <w:r>
        <w:rPr>
          <w:u w:val="single"/>
        </w:rPr>
        <w:t xml:space="preserve">state</w:t>
      </w:r>
      <w:r>
        <w:rPr/>
        <w:t xml:space="preserve"> legislative hearing or meeting during the hearing or meeting</w:t>
      </w:r>
      <w:r>
        <w:rPr>
          <w:u w:val="single"/>
        </w:rPr>
        <w:t xml:space="preserve">; or</w:t>
      </w:r>
    </w:p>
    <w:p>
      <w:pPr>
        <w:spacing w:before="0" w:after="0" w:line="408" w:lineRule="exact"/>
        <w:ind w:left="0" w:right="0" w:firstLine="576"/>
        <w:jc w:val="left"/>
      </w:pPr>
      <w:r>
        <w:rPr>
          <w:u w:val="single"/>
        </w:rPr>
        <w:t xml:space="preserve">(b) City, town, county, or other municipality buildings used in connection with meetings of the governing body of the city, town, county, or other municipality, or any location of a public meeting or hearing of the governing body of a city, town, county, or other municipality during the hearing or meeting</w:t>
      </w:r>
      <w:r>
        <w:rPr/>
        <w:t xml:space="preserve">.</w:t>
      </w:r>
    </w:p>
    <w:p>
      <w:pPr>
        <w:spacing w:before="0" w:after="0" w:line="408" w:lineRule="exact"/>
        <w:ind w:left="0" w:right="0" w:firstLine="576"/>
        <w:jc w:val="left"/>
      </w:pPr>
      <w:r>
        <w:rPr/>
        <w:t xml:space="preserve">(2) </w:t>
      </w:r>
      <w:r>
        <w:rPr>
          <w:u w:val="single"/>
        </w:rPr>
        <w:t xml:space="preserve">For the purposes of this section:</w:t>
      </w:r>
    </w:p>
    <w:p>
      <w:pPr>
        <w:spacing w:before="0" w:after="0" w:line="408" w:lineRule="exact"/>
        <w:ind w:left="0" w:right="0" w:firstLine="576"/>
        <w:jc w:val="left"/>
      </w:pPr>
      <w:r>
        <w:rPr>
          <w:u w:val="single"/>
        </w:rPr>
        <w:t xml:space="preserve">(a)</w:t>
      </w:r>
      <w:r>
        <w:rPr/>
        <w:t xml:space="preserve">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t>((</w:t>
      </w:r>
      <w:r>
        <w:rPr>
          <w:strike/>
        </w:rPr>
        <w:t xml:space="preserve">(3)</w:t>
      </w:r>
      <w:r>
        <w:t>))</w:t>
      </w:r>
      <w:r>
        <w:rPr/>
        <w:t xml:space="preserve"> </w:t>
      </w:r>
      <w:r>
        <w:rPr>
          <w:u w:val="single"/>
        </w:rPr>
        <w:t xml:space="preserve">(b) "Governing body" has the same meaning as in RCW 42.30.020.</w:t>
      </w:r>
    </w:p>
    <w:p>
      <w:pPr>
        <w:spacing w:before="0" w:after="0" w:line="408" w:lineRule="exact"/>
        <w:ind w:left="0" w:right="0" w:firstLine="576"/>
        <w:jc w:val="left"/>
      </w:pPr>
      <w:r>
        <w:rPr>
          <w:u w:val="single"/>
        </w:rPr>
        <w:t xml:space="preserve">(c)</w:t>
      </w:r>
      <w:r>
        <w:rPr/>
        <w:t xml:space="preserve">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Duly authorized federal, state, or local law enforcement officers or personnel are exempt from this section when carrying a firearm or other weapon in conformance with their employing agency's policy. Members of the armed forces of the United States or the state of Washington are exempt from this section when carrying a firearm or other weapon in the discharge of official duty or traveling to or from official duty.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person violating this section is guilty of a gross misdemeanor.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this section applies to the lawful concealed carry of a firearm by a person who has a valid concealed pistol license.</w:t>
      </w:r>
    </w:p>
    <w:p>
      <w:pPr>
        <w:spacing w:before="0" w:after="0" w:line="408" w:lineRule="exact"/>
        <w:ind w:left="0" w:right="0" w:firstLine="576"/>
        <w:jc w:val="left"/>
      </w:pPr>
      <w:r>
        <w:rPr>
          <w:u w:val="single"/>
        </w:rPr>
        <w:t xml:space="preserve">(6) A city, town, county, or other municipality must post signs providing notice of the restrictions on possession of firearms and other weapons under this section at any locations specified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 or</w:t>
      </w:r>
    </w:p>
    <w:p>
      <w:pPr>
        <w:spacing w:before="0" w:after="0" w:line="408" w:lineRule="exact"/>
        <w:ind w:left="0" w:right="0" w:firstLine="576"/>
        <w:jc w:val="left"/>
      </w:pPr>
      <w:r>
        <w:rPr/>
        <w:t xml:space="preserve">(e) Any spring blade knife as defined in RCW 9.41.250.</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order the person to immediately surrender any concealed pistol license, and within three business days notify the department of licensing in writing of the required revocation of any concealed pistol license held by the person.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2022 c . . . s 1 (section 1 of this act) and 2022 c . . . (Substitute House Bill No. 1224) s 2 are each reenacted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 or</w:t>
      </w:r>
    </w:p>
    <w:p>
      <w:pPr>
        <w:spacing w:before="0" w:after="0" w:line="408" w:lineRule="exact"/>
        <w:ind w:left="0" w:right="0" w:firstLine="576"/>
        <w:jc w:val="left"/>
      </w:pPr>
      <w:r>
        <w:rPr/>
        <w:t xml:space="preserve">(g) Any spring blade knife as defined in RCW 9.41.250.</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12 years of age and not more than 21 years of age for violating subsection (1)(a) of this section, the person shall be detained or confined in a juvenile or adult facility for up to 72 hours. The person shall not be released within the 72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24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the health care authority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18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18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 Section 4 of this act takes effect only if Substitute House Bill No. 1224 is enacted into law by the effective date of this section.</w:t>
      </w:r>
    </w:p>
    <w:p/>
    <w:p>
      <w:pPr>
        <w:jc w:val="center"/>
      </w:pPr>
      <w:r>
        <w:rPr>
          <w:b/>
        </w:rPr>
        <w:t>--- END ---</w:t>
      </w:r>
    </w:p>
    <w:sectPr>
      <w:pgNumType w:start="1"/>
      <w:footerReference xmlns:r="http://schemas.openxmlformats.org/officeDocument/2006/relationships" r:id="Red63c2c3957f4c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76eddec1484f24" /><Relationship Type="http://schemas.openxmlformats.org/officeDocument/2006/relationships/footer" Target="/word/footer1.xml" Id="Red63c2c3957f4c6f" /></Relationships>
</file>