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52f5b2e1b4c74" /></Relationships>
</file>

<file path=word/document.xml><?xml version="1.0" encoding="utf-8"?>
<w:document xmlns:w="http://schemas.openxmlformats.org/wordprocessingml/2006/main">
  <w:body>
    <w:p>
      <w:r>
        <w:t>H-1485.1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1570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67th Legislature</w:t>
        <w:tab/>
      </w:r>
      <w:r>
        <w:rPr>
          <w:b/>
        </w:rPr>
        <w:t>2021 Regular Session</w:t>
      </w:r>
    </w:p>
    <w:p/>
    <w:p>
      <w:r>
        <w:rPr>
          <w:b/>
        </w:rPr>
        <w:t xml:space="preserve">By </w:t>
      </w:r>
      <w:r>
        <w:t>Representatives Walsh, Volz, Abbarno, Boehnke, Caldier, Dent, Dufault, Graham, Jacobsen, Rude, Ybarra, Schmick, Orcutt, Klippert, Chase, Eslick, Klicker, McEntire, McCaslin, and Chambers</w:t>
      </w:r>
    </w:p>
    <w:p/>
    <w:p>
      <w:r>
        <w:rPr>
          <w:t xml:space="preserve">Read first time 04/05/21.  </w:t>
        </w:rPr>
      </w:r>
      <w:r>
        <w:rPr>
          <w:t xml:space="preserve">Referred to Committee on Health Care &amp; Wellness.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prohibiting the government from requiring proof of vaccination to access public places; adding a new section to chapter 70.01 RCW; and declaring an emergency.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70</w:t>
      </w:r>
      <w:r>
        <w:rPr/>
        <w:t xml:space="preserve">.</w:t>
      </w:r>
      <w:r>
        <w:t xml:space="preserve">01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governmental entity may not require a person to present proof that the person has received a vaccine for the novel coronavirus (COVID-19) or any variant thereof in order to be permitted to access a public place.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As used in this section: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"Governmental entity" means any unit of state or local government including, but not limited to, the governor, state agencies, counties, cities, towns, and special districts.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"Public place" means any site accessible to the general public for business, entertainment, or another lawful purpose. A "public place" includes, but is not limited to, the front, immediate area, or parking lot of any store, shop, restaurant, tavern, shopping center, or other place of business; any public building, its grounds, or surrounding area; or any public parking lot, street, right-of-way, sidewalk, public park, or other public grounds.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is necessary for the immediate preservation of the public peace, health, or safety, or support of the state government and its existing public institutions, and takes effect immediately.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fb04d99c6e204743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1570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df6f3859d4c9b" /><Relationship Type="http://schemas.openxmlformats.org/officeDocument/2006/relationships/footer" Target="/word/footer1.xml" Id="Rfb04d99c6e204743" /></Relationships>
</file>