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8b893dc2e4c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Barkis, Fey, Slatter, and Eslick)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requirements in order to pay for debt service obligations when toll revenues are not sufficient to cover legal obligations; amending RCW 47.56.876;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2019 c 416 s 710 are each amended to read as follows:</w:t>
      </w:r>
    </w:p>
    <w:p>
      <w:pPr>
        <w:spacing w:before="0" w:after="0" w:line="408" w:lineRule="exact"/>
        <w:ind w:left="0" w:right="0" w:firstLine="576"/>
        <w:jc w:val="left"/>
      </w:pPr>
      <w:r>
        <w:rPr>
          <w:u w:val="single"/>
        </w:rPr>
        <w:t xml:space="preserve">(1)</w:t>
      </w:r>
      <w:r>
        <w:rPr/>
        <w:t xml:space="preserve">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w:t>
      </w:r>
      <w:r>
        <w:t>((</w:t>
      </w:r>
      <w:r>
        <w:rPr>
          <w:strike/>
        </w:rPr>
        <w:t xml:space="preserve">may</w:t>
      </w:r>
      <w:r>
        <w:t>))</w:t>
      </w:r>
      <w:r>
        <w:rPr/>
        <w:t xml:space="preserve"> </w:t>
      </w:r>
      <w:r>
        <w:rPr>
          <w:u w:val="single"/>
        </w:rPr>
        <w:t xml:space="preserve">must</w:t>
      </w:r>
      <w:r>
        <w:rPr/>
        <w:t xml:space="preserve"> be used to fund </w:t>
      </w:r>
      <w:r>
        <w:rPr>
          <w:u w:val="single"/>
        </w:rPr>
        <w:t xml:space="preserve">legal obligations associated with bonds and loans associated with the construction and operation of state route number 520 under circumstances where the toll revenue collections at the time are not sufficient to fully cover such legal obligations, and then may be used to fund</w:t>
      </w:r>
      <w:r>
        <w:rPr/>
        <w:t xml:space="preserve">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t>((</w:t>
      </w:r>
      <w:r>
        <w:rPr>
          <w:strike/>
        </w:rPr>
        <w:t xml:space="preserve">During the 2017-2019 and the 2019-2021 fiscal biennia, the</w:t>
      </w:r>
      <w:r>
        <w:t>))</w:t>
      </w:r>
      <w:r>
        <w:rPr/>
        <w:t xml:space="preserve"> </w:t>
      </w:r>
      <w:r>
        <w:rPr>
          <w:u w:val="single"/>
        </w:rPr>
        <w:t xml:space="preserve">The</w:t>
      </w:r>
      <w:r>
        <w:rPr/>
        <w:t xml:space="preserve"> legislature may direct the state treasurer to make transfers of moneys in the state route number 520 civil penalties account to the state route number 520 corridor account.</w:t>
      </w:r>
    </w:p>
    <w:p>
      <w:pPr>
        <w:spacing w:before="0" w:after="0" w:line="408" w:lineRule="exact"/>
        <w:ind w:left="0" w:right="0" w:firstLine="576"/>
        <w:jc w:val="left"/>
      </w:pPr>
      <w:r>
        <w:rPr>
          <w:u w:val="single"/>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d020e2a19464d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5713fe8eec49f1" /><Relationship Type="http://schemas.openxmlformats.org/officeDocument/2006/relationships/footer" Target="/word/footer1.xml" Id="Rdd020e2a19464d6e" /></Relationships>
</file>