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acfd204904a0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1453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Bergquist, Volz, Valdez, Lekanoff, Shewmake, Sutherland, and Riccelli</w:t>
      </w:r>
    </w:p>
    <w:p/>
    <w:p>
      <w:r>
        <w:rPr>
          <w:t xml:space="preserve">Read first time 02/02/21.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voters' pamphlets; amending RCW 29A.32.010, 29A.32.020, 29A.32.031, 29A.32.060, 29A.32.070, 29A.32.090, 29A.32.110, 29A.32.121, 29A.32.210, 29A.32.220, 29A.32.230, 29A.32.241, 29A.32.250, 29A.32.260, 29A.32.280, and 29A.72.025;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2003 c 111 s 801 are each amended to read as follows:</w:t>
      </w:r>
    </w:p>
    <w:p>
      <w:pPr>
        <w:spacing w:before="0" w:after="0" w:line="408" w:lineRule="exact"/>
        <w:ind w:left="0" w:right="0" w:firstLine="576"/>
        <w:jc w:val="left"/>
      </w:pPr>
      <w:r>
        <w:rPr/>
        <w:t xml:space="preserve">The secretary of state shall, whenever at least one statewide measure or office is scheduled to appear on the general election ballot, print and distribute a voters' pamphlet.</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he or she deems appropriate. The secretary of state shall also produce </w:t>
      </w:r>
      <w:r>
        <w:t>((</w:t>
      </w:r>
      <w:r>
        <w:rPr>
          <w:strike/>
        </w:rPr>
        <w:t xml:space="preserve">taped</w:t>
      </w:r>
      <w:r>
        <w:t>))</w:t>
      </w:r>
      <w:r>
        <w:rPr/>
        <w:t xml:space="preserve"> </w:t>
      </w:r>
      <w:r>
        <w:rPr>
          <w:u w:val="single"/>
        </w:rPr>
        <w:t xml:space="preserve">recorded</w:t>
      </w:r>
      <w:r>
        <w:rPr/>
        <w:t xml:space="preserve">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w:t>
      </w:r>
      <w:r>
        <w:t>((</w:t>
      </w:r>
      <w:r>
        <w:rPr>
          <w:strike/>
        </w:rPr>
        <w:t xml:space="preserve">computer bulletin boards</w:t>
      </w:r>
      <w:r>
        <w:t>))</w:t>
      </w:r>
      <w:r>
        <w:rPr/>
        <w:t xml:space="preserve"> </w:t>
      </w:r>
      <w:r>
        <w:rPr>
          <w:u w:val="single"/>
        </w:rPr>
        <w:t xml:space="preserve">web based</w:t>
      </w:r>
      <w:r>
        <w:rPr/>
        <w:t xml:space="preserve">, print</w:t>
      </w:r>
      <w:r>
        <w:rPr>
          <w:u w:val="single"/>
        </w:rPr>
        <w:t xml:space="preserve">,</w:t>
      </w:r>
      <w:r>
        <w:rPr/>
        <w:t xml:space="preserve"> and broadcast news media, </w:t>
      </w:r>
      <w:r>
        <w:t>((</w:t>
      </w:r>
      <w:r>
        <w:rPr>
          <w:strike/>
        </w:rPr>
        <w:t xml:space="preserve">community computer networks,</w:t>
      </w:r>
      <w:r>
        <w:t>))</w:t>
      </w:r>
      <w:r>
        <w:rPr/>
        <w:t xml:space="preserve">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020</w:t>
      </w:r>
      <w:r>
        <w:rPr/>
        <w:t xml:space="preserve"> and 2003 c 111 s 802 are each amended to read as follows:</w:t>
      </w:r>
    </w:p>
    <w:p>
      <w:pPr>
        <w:spacing w:before="0" w:after="0" w:line="408" w:lineRule="exact"/>
        <w:ind w:left="0" w:right="0" w:firstLine="576"/>
        <w:jc w:val="left"/>
      </w:pPr>
      <w:r>
        <w:rPr/>
        <w:t xml:space="preserve">No person or entity may publish or distribute any campaign material that is deceptively similar in design or appearance to a voters' pamphlet that was published by the secretary of state during the ten-year period before the publication or distribution of the campaign material by the person or entity. The secretary of state shall take reasonable measures to prevent or to stop violations of this section. Such measures may include, among others, petitioning the superior court for a temporary restraining order or other appropriate injunctive relief. In addition, the secretary may request the superior court to impose a civil fine on a violator of this section. The court is authorized to levy on and recover from each violator a civil fine not to exceed the greater of: (1) </w:t>
      </w:r>
      <w:r>
        <w:t>((</w:t>
      </w:r>
      <w:r>
        <w:rPr>
          <w:strike/>
        </w:rPr>
        <w:t xml:space="preserve">Two</w:t>
      </w:r>
      <w:r>
        <w:t>))</w:t>
      </w:r>
      <w:r>
        <w:rPr/>
        <w:t xml:space="preserve"> </w:t>
      </w:r>
      <w:r>
        <w:rPr>
          <w:u w:val="single"/>
        </w:rPr>
        <w:t xml:space="preserve">Five</w:t>
      </w:r>
      <w:r>
        <w:rPr/>
        <w:t xml:space="preserve"> dollars for each copy of the deceptive material distributed, or (2) </w:t>
      </w:r>
      <w:r>
        <w:t>((</w:t>
      </w:r>
      <w:r>
        <w:rPr>
          <w:strike/>
        </w:rPr>
        <w:t xml:space="preserve">one thousand dollars</w:t>
      </w:r>
      <w:r>
        <w:t>))</w:t>
      </w:r>
      <w:r>
        <w:rPr/>
        <w:t xml:space="preserve"> </w:t>
      </w:r>
      <w:r>
        <w:rPr>
          <w:u w:val="single"/>
        </w:rPr>
        <w:t xml:space="preserve">$10,000</w:t>
      </w:r>
      <w:r>
        <w:rPr/>
        <w:t xml:space="preserve">. In addition, the violator is liable for the state's legal expenses and other costs resulting from the violation. Any funds recovered under this section must be transmitted to the state treasurer for deposit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measure for an advisory vote of the people and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w:t>
      </w:r>
      <w:r>
        <w:t>((</w:t>
      </w:r>
      <w:r>
        <w:rPr>
          <w:strike/>
        </w:rPr>
        <w:t xml:space="preserve">if</w:t>
      </w:r>
      <w:r>
        <w:t>))</w:t>
      </w:r>
      <w:r>
        <w:rPr/>
        <w:t xml:space="preserve"> </w:t>
      </w:r>
      <w:r>
        <w:rPr>
          <w:u w:val="single"/>
        </w:rPr>
        <w:t xml:space="preserve">for</w:t>
      </w:r>
      <w:r>
        <w:rPr/>
        <w:t xml:space="preserve"> any office voted upon statewide </w:t>
      </w:r>
      <w:r>
        <w:rPr>
          <w:u w:val="single"/>
        </w:rPr>
        <w:t xml:space="preserve">or any multicounty congressional or multicounty legislative district that</w:t>
      </w:r>
      <w:r>
        <w:rPr/>
        <w:t xml:space="preserve"> appears on the ballot due to a vacancy, </w:t>
      </w:r>
      <w:r>
        <w:t>((</w:t>
      </w:r>
      <w:r>
        <w:rPr>
          <w:strike/>
        </w:rPr>
        <w:t xml:space="preserve">then</w:t>
      </w:r>
      <w:r>
        <w:t>))</w:t>
      </w:r>
      <w:r>
        <w:rPr/>
        <w:t xml:space="preserve">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and</w:t>
      </w:r>
    </w:p>
    <w:p>
      <w:pPr>
        <w:spacing w:before="0" w:after="0" w:line="408" w:lineRule="exact"/>
        <w:ind w:left="0" w:right="0" w:firstLine="576"/>
        <w:jc w:val="left"/>
      </w:pPr>
      <w:r>
        <w:rPr/>
        <w:t xml:space="preserve">(8)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2015 c 171 s 2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and rebuttals of those arguments.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 Committees must have the explanatory and fiscal impact statements available before preparing their arguments.</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 statements to the secretary of state, the secretary of state shall transmit the statements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w:t>
      </w:r>
      <w:r>
        <w:rPr>
          <w:u w:val="single"/>
        </w:rPr>
        <w:t xml:space="preserve">text</w:t>
      </w:r>
      <w:r>
        <w:rPr/>
        <w:t xml:space="preserve"> only argument statements prepared according to this section. </w:t>
      </w:r>
      <w:r>
        <w:t>((</w:t>
      </w:r>
      <w:r>
        <w:rPr>
          <w:strike/>
        </w:rPr>
        <w:t xml:space="preserve">Arguments may contain graphs and charts supported by factual statistical data and pictures or other illustrations. Cartoons</w:t>
      </w:r>
      <w:r>
        <w:t>))</w:t>
      </w:r>
      <w:r>
        <w:rPr/>
        <w:t xml:space="preserve"> </w:t>
      </w:r>
      <w:r>
        <w:rPr>
          <w:u w:val="single"/>
        </w:rPr>
        <w:t xml:space="preserve">Graphs, charts, photographs, cartoons,</w:t>
      </w:r>
      <w:r>
        <w:rPr/>
        <w:t xml:space="preserve">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(11)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p>
    <w:p>
      <w:pPr>
        <w:spacing w:before="0" w:after="0" w:line="408" w:lineRule="exact"/>
        <w:ind w:left="0" w:right="0" w:firstLine="576"/>
        <w:jc w:val="left"/>
      </w:pPr>
      <w:r>
        <w:rPr/>
        <w:t xml:space="preserve">(11) </w:t>
      </w:r>
      <w:r>
        <w:t>((</w:t>
      </w:r>
      <w:r>
        <w:rPr>
          <w:strike/>
        </w:rPr>
        <w:t xml:space="preserve">Two pages</w:t>
      </w:r>
      <w:r>
        <w:t>))</w:t>
      </w:r>
      <w:r>
        <w:rPr/>
        <w:t xml:space="preserve"> </w:t>
      </w:r>
      <w:r>
        <w:rPr>
          <w:u w:val="single"/>
        </w:rPr>
        <w:t xml:space="preserve">Adequate space</w:t>
      </w:r>
      <w:r>
        <w:rPr/>
        <w:t xml:space="preserve">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w:t>
      </w:r>
      <w:r>
        <w:t>((</w:t>
      </w:r>
      <w:r>
        <w:rPr>
          <w:strike/>
        </w:rPr>
        <w:t xml:space="preserve">affiliation (for example, Democrat or Republican), city or town they live in</w:t>
      </w:r>
      <w:r>
        <w:t>))</w:t>
      </w:r>
      <w:r>
        <w:rPr/>
        <w:t xml:space="preserve"> </w:t>
      </w:r>
      <w:r>
        <w:rPr>
          <w:u w:val="single"/>
        </w:rPr>
        <w:t xml:space="preserve">preference</w:t>
      </w:r>
      <w:r>
        <w:rPr/>
        <w:t xml:space="preserve">, office phone number, and office email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090</w:t>
      </w:r>
      <w:r>
        <w:rPr/>
        <w:t xml:space="preserve"> and 2009 c 222 s 3 are each amended to read as follows:</w:t>
      </w:r>
    </w:p>
    <w:p>
      <w:pPr>
        <w:spacing w:before="0" w:after="0" w:line="408" w:lineRule="exact"/>
        <w:ind w:left="0" w:right="0" w:firstLine="576"/>
        <w:jc w:val="left"/>
      </w:pPr>
      <w:r>
        <w:rPr/>
        <w:t xml:space="preserve">(1) </w:t>
      </w:r>
      <w:r>
        <w:t>((</w:t>
      </w:r>
      <w:r>
        <w:rPr>
          <w:strike/>
        </w:rPr>
        <w:t xml:space="preserve">If</w:t>
      </w:r>
      <w:r>
        <w:t>))</w:t>
      </w:r>
      <w:r>
        <w:rPr/>
        <w:t xml:space="preserve"> </w:t>
      </w:r>
      <w:r>
        <w:rPr>
          <w:u w:val="single"/>
        </w:rPr>
        <w:t xml:space="preserve">All statements, arguments, and photographs submitted are subject to review and approval, and must conform to the criteria in this section. A statement or photograph may be rejected, if</w:t>
      </w:r>
      <w:r>
        <w:rPr/>
        <w:t xml:space="preserve"> in the opinion of the secretary of state any argument or statement offered for inclusion in the voters' pamphlet in support of or opposition to a measure or candidate </w:t>
      </w:r>
      <w:r>
        <w:rPr>
          <w:u w:val="single"/>
        </w:rPr>
        <w:t xml:space="preserve">does not comply with the standards contained in this section or administrative rules or</w:t>
      </w:r>
      <w:r>
        <w:rPr/>
        <w:t xml:space="preserve"> contains obscene matter or matter that is otherwise prohibited by law from distribution through the mail</w:t>
      </w:r>
      <w:r>
        <w:t>((</w:t>
      </w:r>
      <w:r>
        <w:rPr>
          <w:strike/>
        </w:rPr>
        <w:t xml:space="preserve">,</w:t>
      </w:r>
      <w:r>
        <w:t>))</w:t>
      </w:r>
      <w:r>
        <w:rPr>
          <w:u w:val="single"/>
        </w:rPr>
        <w:t xml:space="preserve">. A person or committee that has submitted a statement or photo rejected by</w:t>
      </w:r>
      <w:r>
        <w:rPr/>
        <w:t xml:space="preserve"> the secretary may </w:t>
      </w:r>
      <w:r>
        <w:rPr>
          <w:u w:val="single"/>
        </w:rPr>
        <w:t xml:space="preserve">edit their statement or</w:t>
      </w:r>
      <w:r>
        <w:rPr/>
        <w:t xml:space="preserve"> petition the superior court of Thurston county for a judicial determination that the </w:t>
      </w:r>
      <w:r>
        <w:rPr>
          <w:u w:val="single"/>
        </w:rPr>
        <w:t xml:space="preserve">photograph,</w:t>
      </w:r>
      <w:r>
        <w:rPr/>
        <w:t xml:space="preserve"> argument</w:t>
      </w:r>
      <w:r>
        <w:rPr>
          <w:u w:val="single"/>
        </w:rPr>
        <w:t xml:space="preserve">,</w:t>
      </w:r>
      <w:r>
        <w:rPr/>
        <w:t xml:space="preserve"> or statement </w:t>
      </w:r>
      <w:r>
        <w:t>((</w:t>
      </w:r>
      <w:r>
        <w:rPr>
          <w:strike/>
        </w:rPr>
        <w:t xml:space="preserve">may be rejected</w:t>
      </w:r>
      <w:r>
        <w:t>))</w:t>
      </w:r>
      <w:r>
        <w:rPr/>
        <w:t xml:space="preserve"> </w:t>
      </w:r>
      <w:r>
        <w:rPr>
          <w:u w:val="single"/>
        </w:rPr>
        <w:t xml:space="preserve">complies with the standards and is acceptable</w:t>
      </w:r>
      <w:r>
        <w:rPr/>
        <w:t xml:space="preserve"> for publication or edited to delete the matter. The court shall not enter such an order unless it concludes that the matter is </w:t>
      </w:r>
      <w:r>
        <w:rPr>
          <w:u w:val="single"/>
        </w:rPr>
        <w:t xml:space="preserve">compliant, not</w:t>
      </w:r>
      <w:r>
        <w:rPr/>
        <w:t xml:space="preserve"> obscene</w:t>
      </w:r>
      <w:r>
        <w:rPr>
          <w:u w:val="single"/>
        </w:rPr>
        <w:t xml:space="preserve">,</w:t>
      </w:r>
      <w:r>
        <w:rPr/>
        <w:t xml:space="preserve"> or </w:t>
      </w:r>
      <w:r>
        <w:rPr>
          <w:u w:val="single"/>
        </w:rPr>
        <w:t xml:space="preserve">not</w:t>
      </w:r>
      <w:r>
        <w:rPr/>
        <w:t xml:space="preserve"> otherwise prohibited for distribution through the mail.</w:t>
      </w:r>
    </w:p>
    <w:p>
      <w:pPr>
        <w:spacing w:before="0" w:after="0" w:line="408" w:lineRule="exact"/>
        <w:ind w:left="0" w:right="0" w:firstLine="576"/>
        <w:jc w:val="left"/>
      </w:pPr>
      <w:r>
        <w:rPr/>
        <w:t xml:space="preserve">(2) </w:t>
      </w:r>
      <w:r>
        <w:rPr>
          <w:u w:val="single"/>
        </w:rPr>
        <w:t xml:space="preserve">Any statements by a candidate are limited to:</w:t>
      </w:r>
    </w:p>
    <w:p>
      <w:pPr>
        <w:spacing w:before="0" w:after="0" w:line="408" w:lineRule="exact"/>
        <w:ind w:left="0" w:right="0" w:firstLine="576"/>
        <w:jc w:val="left"/>
      </w:pPr>
      <w:r>
        <w:rPr>
          <w:u w:val="single"/>
        </w:rPr>
        <w:t xml:space="preserve">(a) Plans and goals for the future of the jurisdiction; and</w:t>
      </w:r>
    </w:p>
    <w:p>
      <w:pPr>
        <w:spacing w:before="0" w:after="0" w:line="408" w:lineRule="exact"/>
        <w:ind w:left="0" w:right="0" w:firstLine="576"/>
        <w:jc w:val="left"/>
      </w:pPr>
      <w:r>
        <w:rPr>
          <w:u w:val="single"/>
        </w:rPr>
        <w:t xml:space="preserve">(b) Direction on where to find more information about the candidate.</w:t>
      </w:r>
    </w:p>
    <w:p>
      <w:pPr>
        <w:spacing w:before="0" w:after="0" w:line="408" w:lineRule="exact"/>
        <w:ind w:left="0" w:right="0" w:firstLine="576"/>
        <w:jc w:val="left"/>
      </w:pPr>
      <w:r>
        <w:rPr>
          <w:u w:val="single"/>
        </w:rPr>
        <w:t xml:space="preserve">(3) Candidate statements may not:</w:t>
      </w:r>
    </w:p>
    <w:p>
      <w:pPr>
        <w:spacing w:before="0" w:after="0" w:line="408" w:lineRule="exact"/>
        <w:ind w:left="0" w:right="0" w:firstLine="576"/>
        <w:jc w:val="left"/>
      </w:pPr>
      <w:r>
        <w:rPr>
          <w:u w:val="single"/>
        </w:rPr>
        <w:t xml:space="preserve">(a) Ask for contributions;</w:t>
      </w:r>
    </w:p>
    <w:p>
      <w:pPr>
        <w:spacing w:before="0" w:after="0" w:line="408" w:lineRule="exact"/>
        <w:ind w:left="0" w:right="0" w:firstLine="576"/>
        <w:jc w:val="left"/>
      </w:pPr>
      <w:r>
        <w:rPr>
          <w:u w:val="single"/>
        </w:rPr>
        <w:t xml:space="preserve">(b) Make commercial solicitations; or</w:t>
      </w:r>
    </w:p>
    <w:p>
      <w:pPr>
        <w:spacing w:before="0" w:after="0" w:line="408" w:lineRule="exact"/>
        <w:ind w:left="0" w:right="0" w:firstLine="576"/>
        <w:jc w:val="left"/>
      </w:pPr>
      <w:r>
        <w:rPr>
          <w:u w:val="single"/>
        </w:rPr>
        <w:t xml:space="preserve">(c) Make obscene or otherwise inappropriate comments.</w:t>
      </w:r>
    </w:p>
    <w:p>
      <w:pPr>
        <w:spacing w:before="0" w:after="0" w:line="408" w:lineRule="exact"/>
        <w:ind w:left="0" w:right="0" w:firstLine="576"/>
        <w:jc w:val="left"/>
      </w:pPr>
      <w:r>
        <w:rPr>
          <w:u w:val="single"/>
        </w:rPr>
        <w:t xml:space="preserve">(4) Statements and arguments submitted in support of or opposition to a measure may not:</w:t>
      </w:r>
    </w:p>
    <w:p>
      <w:pPr>
        <w:spacing w:before="0" w:after="0" w:line="408" w:lineRule="exact"/>
        <w:ind w:left="0" w:right="0" w:firstLine="576"/>
        <w:jc w:val="left"/>
      </w:pPr>
      <w:r>
        <w:rPr>
          <w:u w:val="single"/>
        </w:rPr>
        <w:t xml:space="preserve">(a) Ask for contributions;</w:t>
      </w:r>
    </w:p>
    <w:p>
      <w:pPr>
        <w:spacing w:before="0" w:after="0" w:line="408" w:lineRule="exact"/>
        <w:ind w:left="0" w:right="0" w:firstLine="576"/>
        <w:jc w:val="left"/>
      </w:pPr>
      <w:r>
        <w:rPr>
          <w:u w:val="single"/>
        </w:rPr>
        <w:t xml:space="preserve">(b) Make commercial solicitations; or</w:t>
      </w:r>
    </w:p>
    <w:p>
      <w:pPr>
        <w:spacing w:before="0" w:after="0" w:line="408" w:lineRule="exact"/>
        <w:ind w:left="0" w:right="0" w:firstLine="576"/>
        <w:jc w:val="left"/>
      </w:pPr>
      <w:r>
        <w:rPr>
          <w:u w:val="single"/>
        </w:rPr>
        <w:t xml:space="preserve">(c) Make obscene or otherwise inappropriate comments.</w:t>
      </w:r>
    </w:p>
    <w:p>
      <w:pPr>
        <w:spacing w:before="0" w:after="0" w:line="408" w:lineRule="exact"/>
        <w:ind w:left="0" w:right="0" w:firstLine="576"/>
        <w:jc w:val="left"/>
      </w:pPr>
      <w:r>
        <w:rPr>
          <w:u w:val="single"/>
        </w:rPr>
        <w:t xml:space="preserve">(5)</w:t>
      </w:r>
      <w:r>
        <w:rPr/>
        <w:t xml:space="preserve"> A candidate's statement submitted for inclusion in the voters' pamphlet shall not contain false or misleading statements about the candidate's opponent. A false or misleading statement shall be considered "libel or defamation per se" if the statement tends to expose the candidate to hatred, contempt, ridicule, or obloquy, or to deprive him or her of the benefit of public confidence or social intercourse, or to injure him or her in his or her business or occupation. If a candidate believes his or her opponent has libeled or defamed him or her, the candidate may commence an action under subsection </w:t>
      </w:r>
      <w:r>
        <w:t>((</w:t>
      </w:r>
      <w:r>
        <w:rPr>
          <w:strike/>
        </w:rPr>
        <w:t xml:space="preserve">(3)</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(a) A person who believes that he or she may be defamed by an argument or statement offered for inclusion in the voters' pamphlet in support of or opposition to a measure or candidate may petition the superior court of Thurston county for a judicial determination that the argument or statement may be rejected for publication or edited to delete the defamatory statement.</w:t>
      </w:r>
    </w:p>
    <w:p>
      <w:pPr>
        <w:spacing w:before="0" w:after="0" w:line="408" w:lineRule="exact"/>
        <w:ind w:left="0" w:right="0" w:firstLine="576"/>
        <w:jc w:val="left"/>
      </w:pPr>
      <w:r>
        <w:rPr/>
        <w:t xml:space="preserve">(b) The court shall not enter such an order unless it concludes that the statement is untrue and that the petitioner has a very substantial likelihood of prevailing in a defamation action.</w:t>
      </w:r>
    </w:p>
    <w:p>
      <w:pPr>
        <w:spacing w:before="0" w:after="0" w:line="408" w:lineRule="exact"/>
        <w:ind w:left="0" w:right="0" w:firstLine="576"/>
        <w:jc w:val="left"/>
      </w:pPr>
      <w:r>
        <w:rPr/>
        <w:t xml:space="preserve">(c) An action under this subsection </w:t>
      </w:r>
      <w:r>
        <w:t>((</w:t>
      </w:r>
      <w:r>
        <w:rPr>
          <w:strike/>
        </w:rPr>
        <w:t xml:space="preserve">(3)</w:t>
      </w:r>
      <w:r>
        <w:t>))</w:t>
      </w:r>
      <w:r>
        <w:rPr/>
        <w:t xml:space="preserve"> </w:t>
      </w:r>
      <w:r>
        <w:rPr>
          <w:u w:val="single"/>
        </w:rPr>
        <w:t xml:space="preserve">(6)</w:t>
      </w:r>
      <w:r>
        <w:rPr/>
        <w:t xml:space="preserve"> must be filed and served no later than the tenth day after the deadline for the submission of the argument or statement to the secretary of state.</w:t>
      </w:r>
    </w:p>
    <w:p>
      <w:pPr>
        <w:spacing w:before="0" w:after="0" w:line="408" w:lineRule="exact"/>
        <w:ind w:left="0" w:right="0" w:firstLine="576"/>
        <w:jc w:val="left"/>
      </w:pPr>
      <w:r>
        <w:rPr/>
        <w:t xml:space="preserve">(d) If the secretary of state notifies a person named or identified in an argument or statement of the contents of the argument or statement within three days after the deadline for submission to the secretary, then neither the state nor the secretary is liable for damages resulting from publication of the argument or statement unless the secretary publishes the argument or statement in violation of an order entered under this section. Nothing in this section creates a duty on the part of the secretary of state to identify, locate, or notify the person.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Parties to a dispute under this section may agree to resolve the dispute by rephrasing the argument or statement, even if the deadline for submission to the secretary has elapsed, unless the secretary determines that the process of publication is too far advanced to permit the change. The secretary shall promptly provide any such revision to any committee entitled to submit a rebuttal argument. If that committee has not yet submitted its rebuttal, its deadline to submit a rebuttal is extended by five days. If it has submitted a rebuttal, it may revise it to address the change within five days of the filing of the revised argument with the secretary.</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In an action under this section the committee or candidate must be named as a defendant, and may be served with process by certified mail directed to the address contained in the secretary's records for that party. The secretary of state shall be a nominal party to an action brought under subsection </w:t>
      </w:r>
      <w:r>
        <w:t>((</w:t>
      </w:r>
      <w:r>
        <w:rPr>
          <w:strike/>
        </w:rPr>
        <w:t xml:space="preserve">(3)</w:t>
      </w:r>
      <w:r>
        <w:t>))</w:t>
      </w:r>
      <w:r>
        <w:rPr/>
        <w:t xml:space="preserve"> </w:t>
      </w:r>
      <w:r>
        <w:rPr>
          <w:u w:val="single"/>
        </w:rPr>
        <w:t xml:space="preserve">(6)</w:t>
      </w:r>
      <w:r>
        <w:rPr/>
        <w:t xml:space="preserve"> of this section, solely for the purpose of determining the content of the voters' pamphlet. The superior court shall give such an action priority on its calendar.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110</w:t>
      </w:r>
      <w:r>
        <w:rPr/>
        <w:t xml:space="preserve"> and 2003 c 111 s 811 are each amended to read as follows:</w:t>
      </w:r>
    </w:p>
    <w:p>
      <w:pPr>
        <w:spacing w:before="0" w:after="0" w:line="408" w:lineRule="exact"/>
        <w:ind w:left="0" w:right="0" w:firstLine="576"/>
        <w:jc w:val="left"/>
      </w:pPr>
      <w:r>
        <w:rPr/>
        <w:t xml:space="preserve">All photographs of candidates submitted for publication must conform to standards established by the secretary of state by rule. No photograph may reveal clothing or insignia suggesting the holding of a public office. </w:t>
      </w:r>
      <w:r>
        <w:rPr>
          <w:u w:val="single"/>
        </w:rPr>
        <w:t xml:space="preserve">No photograph may include hats, buttons, or clothing showing words, insignia, or symbols.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121</w:t>
      </w:r>
      <w:r>
        <w:rPr/>
        <w:t xml:space="preserve"> and 2004 c 271 s 168 are each amended to read as follows:</w:t>
      </w:r>
    </w:p>
    <w:p>
      <w:pPr>
        <w:spacing w:before="0" w:after="0" w:line="408" w:lineRule="exact"/>
        <w:ind w:left="0" w:right="0" w:firstLine="576"/>
        <w:jc w:val="left"/>
      </w:pPr>
      <w:r>
        <w:rPr/>
        <w:t xml:space="preserve">(1) The maximum number of words for statements submitted by candidates is as follows: State representative, one hundred words; state senator, judge of the superior court, judge of the court of appeals, justice of the supreme court, and all state offices voted upon throughout the state, except that of governor, two hundred words; president and vice president, United States senator, United States representative, and governor, three hundred words.</w:t>
      </w:r>
    </w:p>
    <w:p>
      <w:pPr>
        <w:spacing w:before="0" w:after="0" w:line="408" w:lineRule="exact"/>
        <w:ind w:left="0" w:right="0" w:firstLine="576"/>
        <w:jc w:val="left"/>
      </w:pPr>
      <w:r>
        <w:rPr/>
        <w:t xml:space="preserve">(2) Arguments written by committees under RCW 29A.32.060 may not exceed two hundred fifty words in length.</w:t>
      </w:r>
    </w:p>
    <w:p>
      <w:pPr>
        <w:spacing w:before="0" w:after="0" w:line="408" w:lineRule="exact"/>
        <w:ind w:left="0" w:right="0" w:firstLine="576"/>
        <w:jc w:val="left"/>
      </w:pPr>
      <w:r>
        <w:rPr/>
        <w:t xml:space="preserve">(3) Rebuttal arguments written by committees may not exceed seventy-five words in length.</w:t>
      </w:r>
    </w:p>
    <w:p>
      <w:pPr>
        <w:spacing w:before="0" w:after="0" w:line="408" w:lineRule="exact"/>
        <w:ind w:left="0" w:right="0" w:firstLine="576"/>
        <w:jc w:val="left"/>
      </w:pPr>
      <w:r>
        <w:rPr/>
        <w:t xml:space="preserve">(4) The secretary of state </w:t>
      </w:r>
      <w:r>
        <w:rPr>
          <w:u w:val="single"/>
        </w:rPr>
        <w:t xml:space="preserve">or county auditor</w:t>
      </w:r>
      <w:r>
        <w:rPr/>
        <w:t xml:space="preserve"> shall allocate space in the pamphlet based on the number of candidates or nominees for each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2020 c 337 s 6 are each amended to read as follows:</w:t>
      </w:r>
    </w:p>
    <w:p>
      <w:pPr>
        <w:spacing w:before="0" w:after="0" w:line="408" w:lineRule="exact"/>
        <w:ind w:left="0" w:right="0" w:firstLine="576"/>
        <w:jc w:val="left"/>
      </w:pPr>
      <w:r>
        <w:rPr/>
        <w:t xml:space="preserve">Before any primary or general election, or any special election held under RCW 29A.04.321 or 29A.04.330, each county auditor shall print and distribute a local voters' pamphlet. The pamphlet shall provide information on all measures and candidates within that </w:t>
      </w:r>
      <w:r>
        <w:t>((</w:t>
      </w:r>
      <w:r>
        <w:rPr>
          <w:strike/>
        </w:rPr>
        <w:t xml:space="preserve">jurisdiction</w:t>
      </w:r>
      <w:r>
        <w:t>))</w:t>
      </w:r>
      <w:r>
        <w:rPr/>
        <w:t xml:space="preserve"> </w:t>
      </w:r>
      <w:r>
        <w:rPr>
          <w:u w:val="single"/>
        </w:rPr>
        <w:t xml:space="preserve">county</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220</w:t>
      </w:r>
      <w:r>
        <w:rPr/>
        <w:t xml:space="preserve"> and 2003 c 111 s 814 are each amended to read as follows:</w:t>
      </w:r>
    </w:p>
    <w:p>
      <w:pPr>
        <w:spacing w:before="0" w:after="0" w:line="408" w:lineRule="exact"/>
        <w:ind w:left="0" w:right="0" w:firstLine="576"/>
        <w:jc w:val="left"/>
      </w:pPr>
      <w:r>
        <w:rPr/>
        <w:t xml:space="preserve">(1) Not later than ninety days before the publication and distribution of a local voters' pamphlet by a county, the county auditor shall notify each city, town, or special taxing district located </w:t>
      </w:r>
      <w:r>
        <w:t>((</w:t>
      </w:r>
      <w:r>
        <w:rPr>
          <w:strike/>
        </w:rPr>
        <w:t xml:space="preserve">wholly</w:t>
      </w:r>
      <w:r>
        <w:t>))</w:t>
      </w:r>
      <w:r>
        <w:rPr/>
        <w:t xml:space="preserve"> within that county that a pamphlet will be produced. </w:t>
      </w:r>
    </w:p>
    <w:p>
      <w:pPr>
        <w:spacing w:before="0" w:after="0" w:line="408" w:lineRule="exact"/>
        <w:ind w:left="0" w:right="0" w:firstLine="576"/>
        <w:jc w:val="left"/>
      </w:pPr>
      <w:r>
        <w:rPr/>
        <w:t xml:space="preserve">(2) </w:t>
      </w:r>
      <w:r>
        <w:t>((</w:t>
      </w:r>
      <w:r>
        <w:rPr>
          <w:strike/>
        </w:rPr>
        <w:t xml:space="preserve">If a</w:t>
      </w:r>
      <w:r>
        <w:t>))</w:t>
      </w:r>
      <w:r>
        <w:rPr/>
        <w:t xml:space="preserve"> </w:t>
      </w:r>
      <w:r>
        <w:rPr>
          <w:u w:val="single"/>
        </w:rPr>
        <w:t xml:space="preserve">All</w:t>
      </w:r>
      <w:r>
        <w:rPr/>
        <w:t xml:space="preserve"> voters' </w:t>
      </w:r>
      <w:r>
        <w:t>((</w:t>
      </w:r>
      <w:r>
        <w:rPr>
          <w:strike/>
        </w:rPr>
        <w:t xml:space="preserve">pamphlet is</w:t>
      </w:r>
      <w:r>
        <w:t>))</w:t>
      </w:r>
      <w:r>
        <w:rPr/>
        <w:t xml:space="preserve"> </w:t>
      </w:r>
      <w:r>
        <w:rPr>
          <w:u w:val="single"/>
        </w:rPr>
        <w:t xml:space="preserve">pamphlets</w:t>
      </w:r>
      <w:r>
        <w:rPr/>
        <w:t xml:space="preserve"> published by the county </w:t>
      </w:r>
      <w:r>
        <w:t>((</w:t>
      </w:r>
      <w:r>
        <w:rPr>
          <w:strike/>
        </w:rPr>
        <w:t xml:space="preserve">for a primary or general election, the pamphlet shall be published for</w:t>
      </w:r>
      <w:r>
        <w:t>))</w:t>
      </w:r>
      <w:r>
        <w:rPr/>
        <w:t xml:space="preserve"> </w:t>
      </w:r>
      <w:r>
        <w:rPr>
          <w:u w:val="single"/>
        </w:rPr>
        <w:t xml:space="preserve">per RCW 29A.32.210 must include</w:t>
      </w:r>
      <w:r>
        <w:rPr/>
        <w:t xml:space="preserve"> the elective offices and ballot measures of the county and </w:t>
      </w:r>
      <w:r>
        <w:t>((</w:t>
      </w:r>
      <w:r>
        <w:rPr>
          <w:strike/>
        </w:rPr>
        <w:t xml:space="preserve">for</w:t>
      </w:r>
      <w:r>
        <w:t>))</w:t>
      </w:r>
      <w:r>
        <w:rPr/>
        <w:t xml:space="preserve"> the elective offices and ballot measures of each unit of local government located </w:t>
      </w:r>
      <w:r>
        <w:t>((</w:t>
      </w:r>
      <w:r>
        <w:rPr>
          <w:strike/>
        </w:rPr>
        <w:t xml:space="preserve">entirely</w:t>
      </w:r>
      <w:r>
        <w:t>))</w:t>
      </w:r>
      <w:r>
        <w:rPr/>
        <w:t xml:space="preserve"> within the county which will appear on the ballot at that primary or election. </w:t>
      </w:r>
      <w:r>
        <w:t>((</w:t>
      </w:r>
      <w:r>
        <w:rPr>
          <w:strike/>
        </w:rPr>
        <w:t xml:space="preserve">However, the offices and measures of a first</w:t>
      </w:r>
      <w:r>
        <w:rPr/>
        <w:noBreakHyphen/>
      </w:r>
      <w:r>
        <w:rPr>
          <w:strike/>
        </w:rPr>
        <w:t xml:space="preserve">class or code city shall not be included in the pamphlet if the city publishes and distributes its own voters' pamphlet for the primary or election for its offices and measures. The offices and measures of any other town or city are not required to appear in the county's pamphlet if the town or city is obligated by ordinance or charter to publish and distribute a voters' pamphlet for the primary or election for its offices and measures and it does so.</w:t>
      </w:r>
      <w:r>
        <w:t>))</w:t>
      </w:r>
    </w:p>
    <w:p>
      <w:pPr>
        <w:spacing w:before="0" w:after="0" w:line="408" w:lineRule="exact"/>
        <w:ind w:left="0" w:right="0" w:firstLine="576"/>
        <w:jc w:val="left"/>
      </w:pPr>
      <w:r>
        <w:rPr/>
        <w:t xml:space="preserve">If the required appearance in a county's voters' pamphlet of the offices or measures of a unit of local government would create undue financial hardship for the unit of government, the legislative authority of the unit may petition the legislative authority of the county to waive this requirement. The legislative authority of the county may provide such a waiver if it does so not later than sixty days before the publication of the pamphlet and it finds that the requirement would create such hardship.</w:t>
      </w:r>
    </w:p>
    <w:p>
      <w:pPr>
        <w:spacing w:before="0" w:after="0" w:line="408" w:lineRule="exact"/>
        <w:ind w:left="0" w:right="0" w:firstLine="576"/>
        <w:jc w:val="left"/>
      </w:pPr>
      <w:r>
        <w:rPr/>
        <w:t xml:space="preserve">(3) If a city, town, or district is located within more than one county, </w:t>
      </w:r>
      <w:r>
        <w:t>((</w:t>
      </w:r>
      <w:r>
        <w:rPr>
          <w:strike/>
        </w:rPr>
        <w:t xml:space="preserve">the respective county auditors may enter into an interlocal agreement to permit the distribution of each county's local voters' pamphlet into those parts of the city, town, or district located outside of that county</w:t>
      </w:r>
      <w:r>
        <w:t>))</w:t>
      </w:r>
      <w:r>
        <w:rPr/>
        <w:t xml:space="preserve"> </w:t>
      </w:r>
      <w:r>
        <w:rPr>
          <w:u w:val="single"/>
        </w:rPr>
        <w:t xml:space="preserve">all appropriate information for that jurisdiction must appear in the local voters' pamphlet for each of the counties containing the jurisdiction. Arguments, candidate statements, and photographs must be submitted to the county auditor of the county that accepted any resolutions or candidate filings for that jurisdiction. The auditor that receives this information shall provide it to the other county auditors after reviewing and accepting the submissions</w:t>
      </w:r>
      <w:r>
        <w:rPr/>
        <w:t xml:space="preserve">.</w:t>
      </w:r>
    </w:p>
    <w:p>
      <w:pPr>
        <w:spacing w:before="0" w:after="0" w:line="408" w:lineRule="exact"/>
        <w:ind w:left="0" w:right="0" w:firstLine="576"/>
        <w:jc w:val="left"/>
      </w:pPr>
      <w:r>
        <w:rPr/>
        <w:t xml:space="preserve">(4) </w:t>
      </w:r>
      <w:r>
        <w:t>((</w:t>
      </w:r>
      <w:r>
        <w:rPr>
          <w:strike/>
        </w:rPr>
        <w:t xml:space="preserve">If a first-class or code city authorizes the production and distribution of a local voters' pamphlet, the city clerk of that city shall notify any special taxing district located wholly within that city that a pamphlet will be produced. Notification shall be provided in the manner required or provided for in subsection (1) of this section.</w:t>
      </w:r>
    </w:p>
    <w:p>
      <w:pPr>
        <w:spacing w:before="0" w:after="0" w:line="408" w:lineRule="exact"/>
        <w:ind w:left="0" w:right="0" w:firstLine="576"/>
        <w:jc w:val="left"/>
      </w:pPr>
      <w:r>
        <w:rPr>
          <w:strike/>
        </w:rPr>
        <w:t xml:space="preserve">(5)</w:t>
      </w:r>
      <w:r>
        <w:t>))</w:t>
      </w:r>
      <w:r>
        <w:rPr/>
        <w:t xml:space="preserve"> A unit of local government located within a county and the county may enter into an interlocal agreement for the publication of a voters' pamphlet for offices or measures not required by subsection (2) of this section to appear in a county's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230</w:t>
      </w:r>
      <w:r>
        <w:rPr/>
        <w:t xml:space="preserve"> and 2003 c 111 s 815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The secretary of state in consultation with</w:t>
      </w:r>
      <w:r>
        <w:rPr/>
        <w:t xml:space="preserve"> county </w:t>
      </w:r>
      <w:r>
        <w:t>((</w:t>
      </w:r>
      <w:r>
        <w:rPr>
          <w:strike/>
        </w:rPr>
        <w:t xml:space="preserve">auditor or, if applicable, the city clerk of a first-class or code city</w:t>
      </w:r>
      <w:r>
        <w:t>))</w:t>
      </w:r>
      <w:r>
        <w:rPr/>
        <w:t xml:space="preserve"> </w:t>
      </w:r>
      <w:r>
        <w:rPr>
          <w:u w:val="single"/>
        </w:rPr>
        <w:t xml:space="preserve">auditors</w:t>
      </w:r>
      <w:r>
        <w:rPr/>
        <w:t xml:space="preserve"> shall</w:t>
      </w:r>
      <w:r>
        <w:t>((</w:t>
      </w:r>
      <w:r>
        <w:rPr>
          <w:strike/>
        </w:rPr>
        <w:t xml:space="preserve">, in consultation with the participating jurisdictions,</w:t>
      </w:r>
      <w:r>
        <w:t>))</w:t>
      </w:r>
      <w:r>
        <w:rPr/>
        <w:t xml:space="preserve"> adopt </w:t>
      </w:r>
      <w:r>
        <w:t>((</w:t>
      </w:r>
      <w:r>
        <w:rPr>
          <w:strike/>
        </w:rPr>
        <w:t xml:space="preserve">and publish</w:t>
      </w:r>
      <w:r>
        <w:t>))</w:t>
      </w:r>
      <w:r>
        <w:rPr/>
        <w:t xml:space="preserve"> administrative rules necessary to facilitate </w:t>
      </w:r>
      <w:r>
        <w:t>((</w:t>
      </w:r>
      <w:r>
        <w:rPr>
          <w:strike/>
        </w:rPr>
        <w:t xml:space="preserve">the provisions of any ordinance authorizing</w:t>
      </w:r>
      <w:r>
        <w:t>))</w:t>
      </w:r>
      <w:r>
        <w:rPr/>
        <w:t xml:space="preserve"> production of a local voters' pamphlet. </w:t>
      </w:r>
      <w:r>
        <w:t>((</w:t>
      </w:r>
      <w:r>
        <w:rPr>
          <w:strike/>
        </w:rPr>
        <w:t xml:space="preserve">Any amendment to such a rule shall also be adopted and published. Copies of the rules shall identify the date they were adopted or last amended and shall be made available to any person upon request. One copy of the rules adopted by a county auditor and one copy of any amended rules shall be submitted to the county legislative authority. One copy of the rules adopted by a city clerk and one copy of any amended rules shall be submitted to the city legislative authority.</w:t>
      </w:r>
      <w:r>
        <w:t>))</w:t>
      </w:r>
      <w:r>
        <w:rPr/>
        <w:t xml:space="preserve"> These rules shall include but not be limited to the following:</w:t>
      </w:r>
    </w:p>
    <w:p>
      <w:pPr>
        <w:spacing w:before="0" w:after="0" w:line="408" w:lineRule="exact"/>
        <w:ind w:left="0" w:right="0" w:firstLine="576"/>
        <w:jc w:val="left"/>
      </w:pPr>
      <w:r>
        <w:t>((</w:t>
      </w:r>
      <w:r>
        <w:rPr>
          <w:strike/>
        </w:rPr>
        <w:t xml:space="preserve">(1) Deadlines for decisions by cities, towns, or special taxing districts on being included in the pamphlet;</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Limits on the length and deadlines for submission of arguments for and against each measure;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basis for rejection of any explanatory or candidates' statement or argument deemed to be </w:t>
      </w:r>
      <w:r>
        <w:t>((</w:t>
      </w:r>
      <w:r>
        <w:rPr>
          <w:strike/>
        </w:rPr>
        <w:t xml:space="preserve">libelous or otherwise inappropriate</w:t>
      </w:r>
      <w:r>
        <w:t>))</w:t>
      </w:r>
      <w:r>
        <w:rPr/>
        <w:t xml:space="preserve"> </w:t>
      </w:r>
      <w:r>
        <w:rPr>
          <w:u w:val="single"/>
        </w:rPr>
        <w:t xml:space="preserve">noncompliant with this section or administrative rules adopted in accordance with this section</w:t>
      </w:r>
      <w:r>
        <w:rPr/>
        <w:t xml:space="preserve">. </w:t>
      </w:r>
      <w:r>
        <w:rPr>
          <w:u w:val="single"/>
        </w:rPr>
        <w:t xml:space="preserve">Candidate statements must adhere to the following:</w:t>
      </w:r>
    </w:p>
    <w:p>
      <w:pPr>
        <w:spacing w:before="0" w:after="0" w:line="408" w:lineRule="exact"/>
        <w:ind w:left="0" w:right="0" w:firstLine="576"/>
        <w:jc w:val="left"/>
      </w:pPr>
      <w:r>
        <w:rPr>
          <w:u w:val="single"/>
        </w:rPr>
        <w:t xml:space="preserve">(i)</w:t>
      </w:r>
      <w:r>
        <w:rPr/>
        <w:t xml:space="preserve"> Any statements by a candidate shall be limited to </w:t>
      </w:r>
      <w:r>
        <w:t>((</w:t>
      </w:r>
      <w:r>
        <w:rPr>
          <w:strike/>
        </w:rPr>
        <w:t xml:space="preserve">those</w:t>
      </w:r>
      <w:r>
        <w:t>))</w:t>
      </w:r>
      <w:r>
        <w:rPr>
          <w:u w:val="single"/>
        </w:rPr>
        <w:t xml:space="preserve">:</w:t>
      </w:r>
    </w:p>
    <w:p>
      <w:pPr>
        <w:spacing w:before="0" w:after="0" w:line="408" w:lineRule="exact"/>
        <w:ind w:left="0" w:right="0" w:firstLine="576"/>
        <w:jc w:val="left"/>
      </w:pPr>
      <w:r>
        <w:rPr>
          <w:u w:val="single"/>
        </w:rPr>
        <w:t xml:space="preserve">(A) Those</w:t>
      </w:r>
      <w:r>
        <w:rPr/>
        <w:t xml:space="preserve"> about the candidate himself or herself</w:t>
      </w:r>
      <w:r>
        <w:rPr>
          <w:u w:val="single"/>
        </w:rPr>
        <w:t xml:space="preserve">;</w:t>
      </w:r>
    </w:p>
    <w:p>
      <w:pPr>
        <w:spacing w:before="0" w:after="0" w:line="408" w:lineRule="exact"/>
        <w:ind w:left="0" w:right="0" w:firstLine="576"/>
        <w:jc w:val="left"/>
      </w:pPr>
      <w:r>
        <w:rPr>
          <w:u w:val="single"/>
        </w:rPr>
        <w:t xml:space="preserve">(B) Plans and goals for the future of the jurisdiction;</w:t>
      </w:r>
    </w:p>
    <w:p>
      <w:pPr>
        <w:spacing w:before="0" w:after="0" w:line="408" w:lineRule="exact"/>
        <w:ind w:left="0" w:right="0" w:firstLine="576"/>
        <w:jc w:val="left"/>
      </w:pPr>
      <w:r>
        <w:rPr>
          <w:u w:val="single"/>
        </w:rPr>
        <w:t xml:space="preserve">(C) Directions on where to find more information about the candidate.</w:t>
      </w:r>
    </w:p>
    <w:p>
      <w:pPr>
        <w:spacing w:before="0" w:after="0" w:line="408" w:lineRule="exact"/>
        <w:ind w:left="0" w:right="0" w:firstLine="576"/>
        <w:jc w:val="left"/>
      </w:pPr>
      <w:r>
        <w:rPr>
          <w:u w:val="single"/>
        </w:rPr>
        <w:t xml:space="preserve">(ii) Candidate statements may not:</w:t>
      </w:r>
    </w:p>
    <w:p>
      <w:pPr>
        <w:spacing w:before="0" w:after="0" w:line="408" w:lineRule="exact"/>
        <w:ind w:left="0" w:right="0" w:firstLine="576"/>
        <w:jc w:val="left"/>
      </w:pPr>
      <w:r>
        <w:rPr>
          <w:u w:val="single"/>
        </w:rPr>
        <w:t xml:space="preserve">(A) Ask for contributions;</w:t>
      </w:r>
    </w:p>
    <w:p>
      <w:pPr>
        <w:spacing w:before="0" w:after="0" w:line="408" w:lineRule="exact"/>
        <w:ind w:left="0" w:right="0" w:firstLine="576"/>
        <w:jc w:val="left"/>
      </w:pPr>
      <w:r>
        <w:rPr>
          <w:u w:val="single"/>
        </w:rPr>
        <w:t xml:space="preserve">(B) Make commercial solicitations; or </w:t>
      </w:r>
    </w:p>
    <w:p>
      <w:pPr>
        <w:spacing w:before="0" w:after="0" w:line="408" w:lineRule="exact"/>
        <w:ind w:left="0" w:right="0" w:firstLine="576"/>
        <w:jc w:val="left"/>
      </w:pPr>
      <w:r>
        <w:rPr>
          <w:u w:val="single"/>
        </w:rPr>
        <w:t xml:space="preserve">(C) Make obscene or otherwise inappropriate comments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Limits on the length and deadlines for submission of candidates' statements;</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An appeal process in the case of the rejection of any statement or argument</w:t>
      </w:r>
      <w:r>
        <w:rPr>
          <w:u w:val="single"/>
        </w:rPr>
        <w:t xml:space="preserve">;</w:t>
      </w:r>
    </w:p>
    <w:p>
      <w:pPr>
        <w:spacing w:before="0" w:after="0" w:line="408" w:lineRule="exact"/>
        <w:ind w:left="0" w:right="0" w:firstLine="576"/>
        <w:jc w:val="left"/>
      </w:pPr>
      <w:r>
        <w:rPr>
          <w:u w:val="single"/>
        </w:rPr>
        <w:t xml:space="preserve">(e) Standards related to acceptable candidate photographs; and</w:t>
      </w:r>
    </w:p>
    <w:p>
      <w:pPr>
        <w:spacing w:before="0" w:after="0" w:line="408" w:lineRule="exact"/>
        <w:ind w:left="0" w:right="0" w:firstLine="576"/>
        <w:jc w:val="left"/>
      </w:pPr>
      <w:r>
        <w:rPr>
          <w:u w:val="single"/>
        </w:rPr>
        <w:t xml:space="preserve">(f) Standards related to statements for and against any measure</w:t>
      </w:r>
      <w:r>
        <w:rPr/>
        <w:t xml:space="preserve">.</w:t>
      </w:r>
    </w:p>
    <w:p>
      <w:pPr>
        <w:spacing w:before="0" w:after="0" w:line="408" w:lineRule="exact"/>
        <w:ind w:left="0" w:right="0" w:firstLine="576"/>
        <w:jc w:val="left"/>
      </w:pPr>
      <w:r>
        <w:rPr>
          <w:u w:val="single"/>
        </w:rPr>
        <w:t xml:space="preserve">(2) The county auditor shall adopt and publish local administrative rules necessary to facilitate production of a local voters' pamphlet. Any amendment to such a rule shall also be adopted and published. Copies of the rules must identify the date they were adopted or last amended and must be made available to any person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2020 c 208 s 12 are each amended to read as follows:</w:t>
      </w:r>
    </w:p>
    <w:p>
      <w:pPr>
        <w:spacing w:before="0" w:after="0" w:line="408" w:lineRule="exact"/>
        <w:ind w:left="0" w:right="0" w:firstLine="576"/>
        <w:jc w:val="left"/>
      </w:pPr>
      <w:r>
        <w:rPr/>
        <w:t xml:space="preserve">(1) The local voters' pamphlet shall include but not be limited to the following:</w:t>
      </w:r>
    </w:p>
    <w:p>
      <w:pPr>
        <w:spacing w:before="0" w:after="0" w:line="408" w:lineRule="exact"/>
        <w:ind w:left="0" w:right="0" w:firstLine="576"/>
        <w:jc w:val="left"/>
      </w:pPr>
      <w:r>
        <w:rPr/>
        <w:t xml:space="preserve">(a)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(b) A list of jurisdictions that have measures or candidates in the pamphlet;</w:t>
      </w:r>
    </w:p>
    <w:p>
      <w:pPr>
        <w:spacing w:before="0" w:after="0" w:line="408" w:lineRule="exact"/>
        <w:ind w:left="0" w:right="0" w:firstLine="576"/>
        <w:jc w:val="left"/>
      </w:pPr>
      <w:r>
        <w:rPr/>
        <w:t xml:space="preserve">(c) Information on how a person may register to vote and obtain a ballot;</w:t>
      </w:r>
    </w:p>
    <w:p>
      <w:pPr>
        <w:spacing w:before="0" w:after="0" w:line="408" w:lineRule="exact"/>
        <w:ind w:left="0" w:right="0" w:firstLine="576"/>
        <w:jc w:val="left"/>
      </w:pPr>
      <w:r>
        <w:rPr/>
        <w:t xml:space="preserve">(d) </w:t>
      </w:r>
      <w:r>
        <w:rPr>
          <w:u w:val="single"/>
        </w:rPr>
        <w:t xml:space="preserve">Candidate statements and photographs;</w:t>
      </w:r>
      <w:r>
        <w:rPr/>
        <w:t xml:space="preserve"> </w:t>
      </w:r>
    </w:p>
    <w:p>
      <w:pPr>
        <w:spacing w:before="0" w:after="0" w:line="408" w:lineRule="exact"/>
        <w:ind w:left="0" w:right="0" w:firstLine="576"/>
        <w:jc w:val="left"/>
      </w:pPr>
      <w:r>
        <w:rPr>
          <w:u w:val="single"/>
        </w:rPr>
        <w:t xml:space="preserve">(e)</w:t>
      </w:r>
      <w:r>
        <w:rPr/>
        <w:t xml:space="preserv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arguments for and against each measure submitted by committees selected pursuant to RCW 29A.32.280;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list of all student engagement hubs in the county as designated under RCW 29A.40.180</w:t>
      </w:r>
      <w:r>
        <w:t>((</w:t>
      </w:r>
      <w:r>
        <w:rPr>
          <w:strike/>
        </w:rPr>
        <w:t xml:space="preserve">; and</w:t>
      </w:r>
    </w:p>
    <w:p>
      <w:pPr>
        <w:spacing w:before="0" w:after="0" w:line="408" w:lineRule="exact"/>
        <w:ind w:left="0" w:right="0" w:firstLine="576"/>
        <w:jc w:val="left"/>
      </w:pPr>
      <w:r>
        <w:rPr>
          <w:strike/>
        </w:rPr>
        <w:t xml:space="preserve">(g) For partisan primary elections, information on how to vote the applicable ballot format and an explanation that minor political party candidates and independent candidates will appear only on the general election ballot</w:t>
      </w:r>
      <w:r>
        <w:t>))</w:t>
      </w:r>
      <w:r>
        <w:rPr/>
        <w:t xml:space="preserve">.</w:t>
      </w:r>
    </w:p>
    <w:p>
      <w:pPr>
        <w:spacing w:before="0" w:after="0" w:line="408" w:lineRule="exact"/>
        <w:ind w:left="0" w:right="0" w:firstLine="576"/>
        <w:jc w:val="left"/>
      </w:pPr>
      <w:r>
        <w:rPr/>
        <w:t xml:space="preserve">(2) The county auditor's name may not appear in the local voters' pamphlet in his or her official capacity if the county auditor is a candidate for office during the same year. His or her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250</w:t>
      </w:r>
      <w:r>
        <w:rPr/>
        <w:t xml:space="preserve"> and 2003 c 111 s 817 are each amended to read as follows:</w:t>
      </w:r>
    </w:p>
    <w:p>
      <w:pPr>
        <w:spacing w:before="0" w:after="0" w:line="408" w:lineRule="exact"/>
        <w:ind w:left="0" w:right="0" w:firstLine="576"/>
        <w:jc w:val="left"/>
      </w:pPr>
      <w:r>
        <w:t>((</w:t>
      </w:r>
      <w:r>
        <w:rPr>
          <w:strike/>
        </w:rPr>
        <w:t xml:space="preserve">If the legislative authority of a county or first-class or code city provides for the inclusion of candidates in the local voters' pamphlet, the pamphlet</w:t>
      </w:r>
      <w:r>
        <w:t>))</w:t>
      </w:r>
      <w:r>
        <w:rPr/>
        <w:t xml:space="preserve"> </w:t>
      </w:r>
      <w:r>
        <w:rPr>
          <w:u w:val="single"/>
        </w:rPr>
        <w:t xml:space="preserve">Local voters' pamphlets</w:t>
      </w:r>
      <w:r>
        <w:rPr/>
        <w:t xml:space="preserve"> shall include </w:t>
      </w:r>
      <w:r>
        <w:t>((</w:t>
      </w:r>
      <w:r>
        <w:rPr>
          <w:strike/>
        </w:rPr>
        <w:t xml:space="preserve">the</w:t>
      </w:r>
      <w:r>
        <w:t>))</w:t>
      </w:r>
      <w:r>
        <w:rPr/>
        <w:t xml:space="preserve"> </w:t>
      </w:r>
      <w:r>
        <w:rPr>
          <w:u w:val="single"/>
        </w:rPr>
        <w:t xml:space="preserve">candidate</w:t>
      </w:r>
      <w:r>
        <w:rPr/>
        <w:t xml:space="preserve"> statements </w:t>
      </w:r>
      <w:r>
        <w:t>((</w:t>
      </w:r>
      <w:r>
        <w:rPr>
          <w:strike/>
        </w:rPr>
        <w:t xml:space="preserve">from candidates and may also include</w:t>
      </w:r>
      <w:r>
        <w:t>))</w:t>
      </w:r>
      <w:r>
        <w:rPr/>
        <w:t xml:space="preserve"> </w:t>
      </w:r>
      <w:r>
        <w:rPr>
          <w:u w:val="single"/>
        </w:rPr>
        <w:t xml:space="preserve">that have been accepted by the county auditor and</w:t>
      </w:r>
      <w:r>
        <w:rPr/>
        <w:t xml:space="preserve"> those candidates' photographs.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260</w:t>
      </w:r>
      <w:r>
        <w:rPr/>
        <w:t xml:space="preserve"> and 2011 c 10 s 30 are each amended to read as follows:</w:t>
      </w:r>
    </w:p>
    <w:p>
      <w:pPr>
        <w:spacing w:before="0" w:after="0" w:line="408" w:lineRule="exact"/>
        <w:ind w:left="0" w:right="0" w:firstLine="576"/>
        <w:jc w:val="left"/>
      </w:pPr>
      <w:r>
        <w:rPr/>
        <w:t xml:space="preserve">As soon as practicable before the primary, special election, or general election, the county auditor</w:t>
      </w:r>
      <w:r>
        <w:t>((</w:t>
      </w:r>
      <w:r>
        <w:rPr>
          <w:strike/>
        </w:rPr>
        <w:t xml:space="preserve">, or if applicable, the city clerk of a first-class or code city, as appropriate,</w:t>
      </w:r>
      <w:r>
        <w:t>))</w:t>
      </w:r>
      <w:r>
        <w:rPr/>
        <w:t xml:space="preserve"> shall mail the local voters' pamphlet to every residence in each jurisdiction </w:t>
      </w:r>
      <w:r>
        <w:t>((</w:t>
      </w:r>
      <w:r>
        <w:rPr>
          <w:strike/>
        </w:rPr>
        <w:t xml:space="preserve">that has included information</w:t>
      </w:r>
      <w:r>
        <w:t>))</w:t>
      </w:r>
      <w:r>
        <w:rPr/>
        <w:t xml:space="preserve"> </w:t>
      </w:r>
      <w:r>
        <w:rPr>
          <w:u w:val="single"/>
        </w:rPr>
        <w:t xml:space="preserve">within the county for all jurisdictions participating in the associated primary or election for which election information is included</w:t>
      </w:r>
      <w:r>
        <w:rPr/>
        <w:t xml:space="preserve"> in the pamphlet. The county auditor </w:t>
      </w:r>
      <w:r>
        <w:t>((</w:t>
      </w:r>
      <w:r>
        <w:rPr>
          <w:strike/>
        </w:rPr>
        <w:t xml:space="preserve">or city clerk, as appropriate,</w:t>
      </w:r>
      <w:r>
        <w:t>))</w:t>
      </w:r>
      <w:r>
        <w:rPr/>
        <w:t xml:space="preserve"> may choose to mail the pamphlet to each registered voter in each jurisdiction that has </w:t>
      </w:r>
      <w:r>
        <w:t>((</w:t>
      </w:r>
      <w:r>
        <w:rPr>
          <w:strike/>
        </w:rPr>
        <w:t xml:space="preserve">included information in the pamphlet</w:t>
      </w:r>
      <w:r>
        <w:t>))</w:t>
      </w:r>
      <w:r>
        <w:rPr/>
        <w:t xml:space="preserve"> </w:t>
      </w:r>
      <w:r>
        <w:rPr>
          <w:u w:val="single"/>
        </w:rPr>
        <w:t xml:space="preserve">a primary or election</w:t>
      </w:r>
      <w:r>
        <w:rPr/>
        <w:t xml:space="preserve">, if in his or her judgment, a more economical and effective distribution of the pamphlet would result.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2015 c 146 s 3 are each amended to read as follows:</w:t>
      </w:r>
    </w:p>
    <w:p>
      <w:pPr>
        <w:spacing w:before="0" w:after="0" w:line="408" w:lineRule="exact"/>
        <w:ind w:left="0" w:right="0" w:firstLine="576"/>
        <w:jc w:val="left"/>
      </w:pPr>
      <w:r>
        <w:rPr/>
        <w:t xml:space="preserve">For each measure from a unit of local government </w:t>
      </w:r>
      <w:r>
        <w:t>((</w:t>
      </w:r>
      <w:r>
        <w:rPr>
          <w:strike/>
        </w:rPr>
        <w:t xml:space="preserve">that is</w:t>
      </w:r>
      <w:r>
        <w:t>))</w:t>
      </w:r>
      <w:r>
        <w:rPr/>
        <w:t xml:space="preserve"> included in a local voters' pamphlet, the legislative authority of that jurisdiction shall, not later than the resolution deadline, formally appoint a committee to prepare arguments advocating voters' approval of the measure and shall formally appoint a committee to prepare arguments advocating voters' rejection of the measure. The authority shall appoint persons </w:t>
      </w:r>
      <w:r>
        <w:rPr>
          <w:u w:val="single"/>
        </w:rPr>
        <w:t xml:space="preserve">that reside within the jurisdictional boundaries</w:t>
      </w:r>
      <w:r>
        <w:rPr/>
        <w:t xml:space="preserve"> known to favor the measure to serve on the committee advocating approval and shall, whenever possible, appoint persons known to oppose the measure to serve on the committee advocating rejection</w:t>
      </w:r>
      <w:r>
        <w:rPr>
          <w:u w:val="single"/>
        </w:rPr>
        <w:t xml:space="preserve">, these committee members must reside within the jurisdictional boundaries</w:t>
      </w:r>
      <w:r>
        <w:rPr/>
        <w:t xml:space="preserve">. Each committee shall have not more than three members, however, a committee may seek the advice of any person or persons. If the legislative authority of a unit of local government fails to make such appointments by the prescribed deadline, the county auditor shall </w:t>
      </w:r>
      <w:r>
        <w:t>((</w:t>
      </w:r>
      <w:r>
        <w:rPr>
          <w:strike/>
        </w:rPr>
        <w:t xml:space="preserve">whenever possible make the appointments</w:t>
      </w:r>
      <w:r>
        <w:t>))</w:t>
      </w:r>
      <w:r>
        <w:rPr/>
        <w:t xml:space="preserve"> </w:t>
      </w:r>
      <w:r>
        <w:rPr>
          <w:u w:val="single"/>
        </w:rPr>
        <w:t xml:space="preserve">issue a media release and publish information on their election website announcing the opportunity to form committees and provide statements. If the legislative authority fails to make appointments, the auditor shall make appointments on a first-come, first-served basis if qualified committee members contact the auditor by the appropriate deadline. If no statement is produced the auditor shall include a statement in the pamphlet stating that the district failed to make appointments and there are no statements for that measure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025</w:t>
      </w:r>
      <w:r>
        <w:rPr/>
        <w:t xml:space="preserve"> and 2009 c 415 s 7 are each amended to read as follows:</w:t>
      </w:r>
    </w:p>
    <w:p>
      <w:pPr>
        <w:spacing w:before="0" w:after="0" w:line="408" w:lineRule="exact"/>
        <w:ind w:left="0" w:right="0" w:firstLine="576"/>
        <w:jc w:val="left"/>
      </w:pPr>
      <w:r>
        <w:rPr/>
        <w:t xml:space="preserve">The office of financial management, in consultation with the secretary of state, the attorney general, and any other appropriate state or local agency, shall prepare a fiscal impact statement for each of the following state ballot measures: (1) An initiative to the people that is certified to the ballot; (2) an initiative to the legislature that will appear on the ballot; (3) an alternative measure appearing on the ballot that the legislature proposes to an initiative to the legislature; (4) a referendum bill referred to voters by the legislature; and (5) a referendum measure appearing on the ballot. Fiscal impact statements must be written in clear and concise language, avoid legal and technical terms when possible, and be filed with the secretary of state no later than the </w:t>
      </w:r>
      <w:r>
        <w:t>((</w:t>
      </w:r>
      <w:r>
        <w:rPr>
          <w:strike/>
        </w:rPr>
        <w:t xml:space="preserve">tenth</w:t>
      </w:r>
      <w:r>
        <w:t>))</w:t>
      </w:r>
      <w:r>
        <w:rPr/>
        <w:t xml:space="preserve"> </w:t>
      </w:r>
      <w:r>
        <w:rPr>
          <w:u w:val="single"/>
        </w:rPr>
        <w:t xml:space="preserve">15th</w:t>
      </w:r>
      <w:r>
        <w:rPr/>
        <w:t xml:space="preserve"> day of </w:t>
      </w:r>
      <w:r>
        <w:t>((</w:t>
      </w:r>
      <w:r>
        <w:rPr>
          <w:strike/>
        </w:rPr>
        <w:t xml:space="preserve">August</w:t>
      </w:r>
      <w:r>
        <w:t>))</w:t>
      </w:r>
      <w:r>
        <w:rPr/>
        <w:t xml:space="preserve"> </w:t>
      </w:r>
      <w:r>
        <w:rPr>
          <w:u w:val="single"/>
        </w:rPr>
        <w:t xml:space="preserve">July</w:t>
      </w:r>
      <w:r>
        <w:rPr/>
        <w:t xml:space="preserve">. Fiscal impact statements may include easily understood graphics.</w:t>
      </w:r>
    </w:p>
    <w:p>
      <w:pPr>
        <w:spacing w:before="0" w:after="0" w:line="408" w:lineRule="exact"/>
        <w:ind w:left="0" w:right="0" w:firstLine="576"/>
        <w:jc w:val="left"/>
      </w:pPr>
      <w:r>
        <w:rPr/>
        <w:t xml:space="preserve">A fiscal impact statement must describe any projected increase or decrease in revenues, costs, expenditures, or indebtedness that the state or local governments will experience if the ballot measure were approved by state voters. Where appropriate, a fiscal impact statement may include both estimated dollar amounts and a description placing the estimated dollar amounts into context. A fiscal impact statement must include both a summary of not to exceed one hundred words and a more detailed statement that includes the assumptions that were made to develop the fiscal impacts.</w:t>
      </w:r>
    </w:p>
    <w:p>
      <w:pPr>
        <w:spacing w:before="0" w:after="0" w:line="408" w:lineRule="exact"/>
        <w:ind w:left="0" w:right="0" w:firstLine="576"/>
        <w:jc w:val="left"/>
      </w:pPr>
      <w:r>
        <w:rPr/>
        <w:t xml:space="preserve">Fiscal impact statements must be available online from the secretary of state's website and included in the state voters' pamphlet. Additional information may be posted on the website of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d6c384da716040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3e1aad3cd4693" /><Relationship Type="http://schemas.openxmlformats.org/officeDocument/2006/relationships/footer" Target="/word/footer1.xml" Id="Rd6c384da7160409e" /></Relationships>
</file>