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5c9cfd1d61446e" /></Relationships>
</file>

<file path=word/document.xml><?xml version="1.0" encoding="utf-8"?>
<w:document xmlns:w="http://schemas.openxmlformats.org/wordprocessingml/2006/main">
  <w:body>
    <w:p>
      <w:r>
        <w:t>H-0393.1</w:t>
      </w:r>
    </w:p>
    <w:p>
      <w:pPr>
        <w:jc w:val="center"/>
      </w:pPr>
      <w:r>
        <w:t>_______________________________________________</w:t>
      </w:r>
    </w:p>
    <w:p/>
    <w:p>
      <w:pPr>
        <w:jc w:val="center"/>
      </w:pPr>
      <w:r>
        <w:rPr>
          <w:b/>
        </w:rPr>
        <w:t>HOUSE BILL 1409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Volz, Ybarra, Chase, Dolan, Sutherland, Walen, Walsh, Robertson, Caldier, Leavitt, Griffey, Dent, Ormsby, and Kraft</w:t>
      </w:r>
    </w:p>
    <w:p/>
    <w:p>
      <w:r>
        <w:rPr>
          <w:t xml:space="preserve">Read first time 01/28/21.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certain mobile homes and manufactured homes; adding a new section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There is an exemption from taxation for a mobile home or manufactured home:</w:t>
      </w:r>
    </w:p>
    <w:p>
      <w:pPr>
        <w:spacing w:before="0" w:after="0" w:line="408" w:lineRule="exact"/>
        <w:ind w:left="0" w:right="0" w:firstLine="576"/>
        <w:jc w:val="left"/>
      </w:pPr>
      <w:r>
        <w:rPr/>
        <w:t xml:space="preserve">(a) For which the most recent assessed value is $15,000 or less; and</w:t>
      </w:r>
    </w:p>
    <w:p>
      <w:pPr>
        <w:spacing w:before="0" w:after="0" w:line="408" w:lineRule="exact"/>
        <w:ind w:left="0" w:right="0" w:firstLine="576"/>
        <w:jc w:val="left"/>
      </w:pPr>
      <w:r>
        <w:rPr/>
        <w:t xml:space="preserve">(b) That is not determined to be an improvement to real property.</w:t>
      </w:r>
    </w:p>
    <w:p>
      <w:pPr>
        <w:spacing w:before="0" w:after="0" w:line="408" w:lineRule="exact"/>
        <w:ind w:left="0" w:right="0" w:firstLine="576"/>
        <w:jc w:val="left"/>
      </w:pPr>
      <w:r>
        <w:rPr/>
        <w:t xml:space="preserve">(2) The department must identify properties that qualify for the exemption and notify the owner or owners.</w:t>
      </w:r>
    </w:p>
    <w:p>
      <w:pPr>
        <w:spacing w:before="0" w:after="0" w:line="408" w:lineRule="exact"/>
        <w:ind w:left="0" w:right="0" w:firstLine="576"/>
        <w:jc w:val="left"/>
      </w:pPr>
      <w:r>
        <w:rPr/>
        <w:t xml:space="preserve">(3) An owner of three or more mobile homes or manufactured homes may receive an exemption under this section for the two units with the lowest appraised values. The department must aggregate similar names and addresses to determine ownership.</w:t>
      </w:r>
    </w:p>
    <w:p>
      <w:pPr>
        <w:spacing w:before="0" w:after="0" w:line="408" w:lineRule="exact"/>
        <w:ind w:left="0" w:right="0" w:firstLine="576"/>
        <w:jc w:val="left"/>
      </w:pPr>
      <w:r>
        <w:rPr/>
        <w:t xml:space="preserve">(4) "Mobile home" and "manufactured home" have the meanings provided in RCW 59.20.030.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5fa30053932c4b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57357785e740a4" /><Relationship Type="http://schemas.openxmlformats.org/officeDocument/2006/relationships/footer" Target="/word/footer1.xml" Id="R5fa30053932c4b37" /></Relationships>
</file>