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2ac8b3300b43c6" /></Relationships>
</file>

<file path=word/document.xml><?xml version="1.0" encoding="utf-8"?>
<w:document xmlns:w="http://schemas.openxmlformats.org/wordprocessingml/2006/main">
  <w:body>
    <w:p>
      <w:r>
        <w:t>H-0403.1</w:t>
      </w:r>
    </w:p>
    <w:p>
      <w:pPr>
        <w:jc w:val="center"/>
      </w:pPr>
      <w:r>
        <w:t>_______________________________________________</w:t>
      </w:r>
    </w:p>
    <w:p/>
    <w:p>
      <w:pPr>
        <w:jc w:val="center"/>
      </w:pPr>
      <w:r>
        <w:rPr>
          <w:b/>
        </w:rPr>
        <w:t>HOUSE BILL 1407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 Volz</w:t>
      </w:r>
    </w:p>
    <w:p/>
    <w:p>
      <w:r>
        <w:rPr>
          <w:t xml:space="preserve">Read first time 01/28/21.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fees of county officers; and amending RCW 36.18.016.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2018 c 36 s 7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fifty-four dollars. The clerk of the superior court shall transmit monthly forty-eight dollars of the fifty-four dollar fee collected under this subsection to the state treasury for deposit in the domestic violence prevention account. The remaining six dollars shall be retained by the county for the purpose of supporting community-based domestic violence services within the county, except for five percent of the six dollars, which may be retained by the court for administrative purposes. On or before December 15th of each year, the county shall report to the department of social and health services revenues associated with this section and community-based domestic violence services expenditures. The department of social and health services shall develop a reporting form to be utilized by counties for uniform reporting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w:t>
      </w:r>
      <w:r>
        <w:t>((</w:t>
      </w:r>
      <w:r>
        <w:rPr>
          <w:strike/>
        </w:rPr>
        <w:t xml:space="preserve">may</w:t>
      </w:r>
      <w:r>
        <w:t>))</w:t>
      </w:r>
      <w:r>
        <w:rPr/>
        <w:t xml:space="preserve"> </w:t>
      </w:r>
      <w:r>
        <w:rPr>
          <w:u w:val="single"/>
        </w:rPr>
        <w:t xml:space="preserve">is authorized to</w:t>
      </w:r>
      <w:r>
        <w:rPr/>
        <w:t xml:space="preserve"> collect a fee of </w:t>
      </w:r>
      <w:r>
        <w:t>((</w:t>
      </w:r>
      <w:r>
        <w:rPr>
          <w:strike/>
        </w:rPr>
        <w:t xml:space="preserve">thirty dollars</w:t>
      </w:r>
      <w:r>
        <w:t>))</w:t>
      </w:r>
      <w:r>
        <w:rPr/>
        <w:t xml:space="preserve"> </w:t>
      </w:r>
      <w:r>
        <w:rPr>
          <w:u w:val="single"/>
        </w:rPr>
        <w:t xml:space="preserve">up to $50</w:t>
      </w:r>
      <w:r>
        <w:rPr/>
        <w:t xml:space="preserve">.</w:t>
      </w:r>
    </w:p>
    <w:p>
      <w:pPr>
        <w:spacing w:before="0" w:after="0" w:line="408" w:lineRule="exact"/>
        <w:ind w:left="0" w:right="0" w:firstLine="576"/>
        <w:jc w:val="left"/>
      </w:pPr>
      <w:r>
        <w:rPr/>
        <w:t xml:space="preserve">(13) For duplicated recordings of court's proceedings there must be a fee of ten dollars for each audiotape and twenty-five dollars for each video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an adjudication claim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civil arbitration, a filing fee may be assessed against the party filing a statement of arbitrability not to exceed two hundred fifty dollars as established by authority of local ordinance. Two hundred twenty dollars of this charge shall be used to offset the cost of the civil arbitration program. Thirty dollars of each fee collected under this subsection must be used for indigent defense services.</w:t>
      </w:r>
    </w:p>
    <w:p>
      <w:pPr>
        <w:spacing w:before="0" w:after="0" w:line="408" w:lineRule="exact"/>
        <w:ind w:left="0" w:right="0" w:firstLine="576"/>
        <w:jc w:val="left"/>
      </w:pPr>
      <w:r>
        <w:rPr/>
        <w:t xml:space="preserve">(26) For filing a request for trial de novo of a civil arbitration award, a fee not to exceed four hundred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an adult offender's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
      <w:pPr>
        <w:jc w:val="center"/>
      </w:pPr>
      <w:r>
        <w:rPr>
          <w:b/>
        </w:rPr>
        <w:t>--- END ---</w:t>
      </w:r>
    </w:p>
    <w:sectPr>
      <w:pgNumType w:start="1"/>
      <w:footerReference xmlns:r="http://schemas.openxmlformats.org/officeDocument/2006/relationships" r:id="Rbb8160d48d7947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9b64f81e0d499b" /><Relationship Type="http://schemas.openxmlformats.org/officeDocument/2006/relationships/footer" Target="/word/footer1.xml" Id="Rbb8160d48d79472a" /></Relationships>
</file>