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edd93f6a94c61" /></Relationships>
</file>

<file path=word/document.xml><?xml version="1.0" encoding="utf-8"?>
<w:document xmlns:w="http://schemas.openxmlformats.org/wordprocessingml/2006/main">
  <w:body>
    <w:p>
      <w:r>
        <w:t>H-0470.1</w:t>
      </w:r>
    </w:p>
    <w:p>
      <w:pPr>
        <w:jc w:val="center"/>
      </w:pPr>
      <w:r>
        <w:t>_______________________________________________</w:t>
      </w:r>
    </w:p>
    <w:p/>
    <w:p>
      <w:pPr>
        <w:jc w:val="center"/>
      </w:pPr>
      <w:r>
        <w:rPr>
          <w:b/>
        </w:rPr>
        <w:t>HOUSE BILL 1370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Callan, Shewmake, Davis, Ramos, Leavitt, Duerr, Senn, Wicks, Chopp, Bateman, Kloba, Macri, Ramel, Harris-Talley, Pollet, Rule, and Goodman</w:t>
      </w:r>
    </w:p>
    <w:p/>
    <w:p>
      <w:r>
        <w:rPr>
          <w:t xml:space="preserve">Read first time 01/25/21.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learning facilities; amending RCW 43.31.577, 43.31.565, and 43.185.050; adding a new section to chapter 43.31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2017 3rd sp.s. c 12 s 8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w:t>
      </w:r>
      <w:r>
        <w:t>((</w:t>
      </w:r>
      <w:r>
        <w:rPr>
          <w:strike/>
        </w:rPr>
        <w:t xml:space="preserve">ten thousand dollars</w:t>
      </w:r>
      <w:r>
        <w:t>))</w:t>
      </w:r>
      <w:r>
        <w:rPr/>
        <w:t xml:space="preserve"> </w:t>
      </w:r>
      <w:r>
        <w:rPr>
          <w:u w:val="single"/>
        </w:rPr>
        <w:t xml:space="preserve">$20,000</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w:t>
      </w:r>
      <w:r>
        <w:t>((</w:t>
      </w:r>
      <w:r>
        <w:rPr>
          <w:strike/>
        </w:rPr>
        <w:t xml:space="preserve">one hundred thousand dollars</w:t>
      </w:r>
      <w:r>
        <w:t>))</w:t>
      </w:r>
      <w:r>
        <w:rPr/>
        <w:t xml:space="preserve"> </w:t>
      </w:r>
      <w:r>
        <w:rPr>
          <w:u w:val="single"/>
        </w:rPr>
        <w:t xml:space="preserve">$200,000</w:t>
      </w:r>
      <w:r>
        <w:rPr/>
        <w:t xml:space="preserve"> for minor renovations or repairs of existing early learning facilities </w:t>
      </w:r>
      <w:r>
        <w:rPr>
          <w:u w:val="single"/>
        </w:rPr>
        <w:t xml:space="preserve">or for predevelopment activities to advance a proposal from planning to major construction or renovation</w:t>
      </w:r>
      <w:r>
        <w:rPr/>
        <w:t xml:space="preserve">; </w:t>
      </w:r>
      <w:r>
        <w:t>((</w:t>
      </w:r>
      <w:r>
        <w:rPr>
          <w:strike/>
        </w:rPr>
        <w:t xml:space="preserve">and</w:t>
      </w:r>
      <w:r>
        <w:t>))</w:t>
      </w:r>
    </w:p>
    <w:p>
      <w:pPr>
        <w:spacing w:before="0" w:after="0" w:line="408" w:lineRule="exact"/>
        <w:ind w:left="0" w:right="0" w:firstLine="576"/>
        <w:jc w:val="left"/>
      </w:pPr>
      <w:r>
        <w:rPr/>
        <w:t xml:space="preserve">(c) Major construction and renovation grants or loans and grants or loans for facility purchases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w:t>
      </w:r>
      <w:r>
        <w:rPr>
          <w:u w:val="single"/>
        </w:rPr>
        <w:t xml:space="preserve">; and</w:t>
      </w:r>
    </w:p>
    <w:p>
      <w:pPr>
        <w:spacing w:before="0" w:after="0" w:line="408" w:lineRule="exact"/>
        <w:ind w:left="0" w:right="0" w:firstLine="576"/>
        <w:jc w:val="left"/>
      </w:pPr>
      <w:r>
        <w:rPr>
          <w:u w:val="single"/>
        </w:rPr>
        <w:t xml:space="preserve">(d) Administration costs associated with conducting application processes, managing contracts, and providing technical assistance</w:t>
      </w:r>
      <w:r>
        <w:rPr/>
        <w:t xml:space="preserv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 that received priority and ranking as described in RCW 43.31.581.</w:t>
      </w:r>
    </w:p>
    <w:p>
      <w:pPr>
        <w:spacing w:before="0" w:after="0" w:line="408" w:lineRule="exact"/>
        <w:ind w:left="0" w:right="0" w:firstLine="576"/>
        <w:jc w:val="left"/>
      </w:pPr>
      <w:r>
        <w:rPr/>
        <w:t xml:space="preserve">(3) </w:t>
      </w:r>
      <w:r>
        <w:t>((</w:t>
      </w:r>
      <w:r>
        <w:rPr>
          <w:strike/>
        </w:rPr>
        <w:t xml:space="preserve">Beginning July 1, 2018, amounts</w:t>
      </w:r>
      <w:r>
        <w:t>))</w:t>
      </w:r>
      <w:r>
        <w:rPr/>
        <w:t xml:space="preserve"> </w:t>
      </w:r>
      <w:r>
        <w:rPr>
          <w:u w:val="single"/>
        </w:rPr>
        <w:t xml:space="preserve">Amounts</w:t>
      </w:r>
      <w:r>
        <w:rPr/>
        <w:t xml:space="preserve">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be codified between RCW 43.31.567 and 43.31.583, to read as follows:</w:t>
      </w:r>
    </w:p>
    <w:p>
      <w:pPr>
        <w:spacing w:before="0" w:after="0" w:line="408" w:lineRule="exact"/>
        <w:ind w:left="0" w:right="0" w:firstLine="576"/>
        <w:jc w:val="left"/>
      </w:pPr>
      <w:r>
        <w:rPr/>
        <w:t xml:space="preserve">(1) Subject to the availability of amounts appropriated from the fair start for kids account created in RCW 43.216.--- (section 101, chapter . . . (House Bill No. 1213), Laws of 2021) for this specific purpose, the department shall award start-up grants to eligible organizations as described in RCW 43.31.575 who provide or commit to providing the early childhood education and assistance program or working connections child care.</w:t>
      </w:r>
    </w:p>
    <w:p>
      <w:pPr>
        <w:spacing w:before="0" w:after="0" w:line="408" w:lineRule="exact"/>
        <w:ind w:left="0" w:right="0" w:firstLine="576"/>
        <w:jc w:val="left"/>
      </w:pPr>
      <w:r>
        <w:rPr/>
        <w:t xml:space="preserve">(a) To be eligible for grants under this section, the organization must commit to being an active participant in good standing with the early achievers program as described in chapter 43.216 RCW. Start-up grants are limited to one grant per location per eligible organization. After receiving a start-up grant and upon enrollment in the early achievers program, the site must continue to be an active participant in good standing with the early achievers program as described in chapter 43.216 RCW for at least five years.</w:t>
      </w:r>
    </w:p>
    <w:p>
      <w:pPr>
        <w:spacing w:before="0" w:after="0" w:line="408" w:lineRule="exact"/>
        <w:ind w:left="0" w:right="0" w:firstLine="576"/>
        <w:jc w:val="left"/>
      </w:pPr>
      <w:r>
        <w:rPr/>
        <w:t xml:space="preserve">(b) Start-up grant funds provided under this section must be used for one-time start-up costs associated with the start up of a new child care or early childhood education and assistance program site. Eligible uses of grant funds include the purchase of equipment, supplies, fixtures and furnishings, dual language programming, and the cost of other goods and services associated with operations that are necessary to meet foundational quality standards for early learning programs as established by the department of children, youth, and families.</w:t>
      </w:r>
    </w:p>
    <w:p>
      <w:pPr>
        <w:spacing w:before="0" w:after="0" w:line="408" w:lineRule="exact"/>
        <w:ind w:left="0" w:right="0" w:firstLine="576"/>
        <w:jc w:val="left"/>
      </w:pPr>
      <w:r>
        <w:rPr/>
        <w:t xml:space="preserve">(2) The department shall adopt rules to implement this section. When developing rules for start-up grants, the department must use the child care cost estimate model developed pursuant to section 6, chapter 368, Laws of 2019 to inform the start-up grant parameters.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565</w:t>
      </w:r>
      <w:r>
        <w:rPr/>
        <w:t xml:space="preserve"> and 2017 3rd sp.s. c 12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w:t>
      </w:r>
      <w:r>
        <w:t>((</w:t>
      </w:r>
      <w:r>
        <w:rPr>
          <w:strike/>
        </w:rPr>
        <w:t xml:space="preserve">chapter 12, Laws of 2017 3rd sp. sess.</w:t>
      </w:r>
      <w:r>
        <w:t>))</w:t>
      </w:r>
      <w:r>
        <w:rPr/>
        <w:t xml:space="preserve"> </w:t>
      </w:r>
      <w:r>
        <w:rPr>
          <w:u w:val="single"/>
        </w:rPr>
        <w:t xml:space="preserve">RCW 43.31.567 through 43.31.583</w:t>
      </w:r>
      <w:r>
        <w:rPr/>
        <w:t xml:space="preserv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r>
        <w:rPr>
          <w:u w:val="single"/>
        </w:rPr>
        <w:t xml:space="preserve">, as defined in RCW 43.31.565</w:t>
      </w:r>
      <w:r>
        <w:rPr/>
        <w:t xml:space="preserve">.</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if chapter . . . (House Bill No. 1213), Laws of 2021 is enacted by the effective date of this section.</w:t>
      </w:r>
    </w:p>
    <w:p/>
    <w:p>
      <w:pPr>
        <w:jc w:val="center"/>
      </w:pPr>
      <w:r>
        <w:rPr>
          <w:b/>
        </w:rPr>
        <w:t>--- END ---</w:t>
      </w:r>
    </w:p>
    <w:sectPr>
      <w:pgNumType w:start="1"/>
      <w:footerReference xmlns:r="http://schemas.openxmlformats.org/officeDocument/2006/relationships" r:id="R0d5f1c03542342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7868bdf1a14aba" /><Relationship Type="http://schemas.openxmlformats.org/officeDocument/2006/relationships/footer" Target="/word/footer1.xml" Id="R0d5f1c03542342ca" /></Relationships>
</file>