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746e7715e14b95" /></Relationships>
</file>

<file path=word/document.xml><?xml version="1.0" encoding="utf-8"?>
<w:document xmlns:w="http://schemas.openxmlformats.org/wordprocessingml/2006/main">
  <w:body>
    <w:p>
      <w:r>
        <w:t>H-1087.1</w:t>
      </w:r>
    </w:p>
    <w:p>
      <w:pPr>
        <w:jc w:val="center"/>
      </w:pPr>
      <w:r>
        <w:t>_______________________________________________</w:t>
      </w:r>
    </w:p>
    <w:p/>
    <w:p>
      <w:pPr>
        <w:jc w:val="center"/>
      </w:pPr>
      <w:r>
        <w:rPr>
          <w:b/>
        </w:rPr>
        <w:t>SECOND SUBSTITUTE HOUSE BILL 1335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Valdez, Rude, Berry, Fitzgibbon, Morgan, Santos, Shewmake, Davis, Berg, Gilday, Bergquist, Fey, Bateman, Lekanoff, Lovick, Callan, Riccelli, Rule, Pollet, Senn, and Harris-Talley)</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review and property owner notification of recorded documents with unlawful racial restrictions; amending RCW 64.06.020 and 49.60.227; adding a new section to chapter 43.330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existence of racial, religious, or ethnic-based property restrictions or covenants on a deed or chain of title for real property is like having a monument to racism on that property and is repugnant to the tenets of equality. Furthermore, such restrictions and covenants may cause mental anguish and tarnish a property owner's sense of ownership in the property because the owner feels as though they have participated in a racist act themselves.</w:t>
      </w:r>
    </w:p>
    <w:p>
      <w:pPr>
        <w:spacing w:before="0" w:after="0" w:line="408" w:lineRule="exact"/>
        <w:ind w:left="0" w:right="0" w:firstLine="576"/>
        <w:jc w:val="left"/>
      </w:pPr>
      <w:r>
        <w:rPr/>
        <w:t xml:space="preserve">It is the intent of the legislature that the owner, occupant, or tenant or homeowners' association board of the property which is subject to an unlawful deed restriction or covenant pursuant to RCW 49.60.224 is entitled to have discriminatory covenants and restrictions that are contrary to public policy struck from their chain of title. The legislature has presented two ways this can be accomplished through RCW 49.60.227(1) (a) and (b). If the owner, occupant, or tenant or homeowners' association board of the property elects to pursue a judicial remedy, the legislature intends that the court issue a declaratory judgment ordering the county auditor, or in charter counties the county official charged with the responsibility for recording instruments in the county records, to entirely strike the racist or otherwise discriminatory covenants from the chain of title. Striking the language does not prevent preservation of the original record, outside of the chain of title, for historical or archival purposes.</w:t>
      </w:r>
    </w:p>
    <w:p>
      <w:pPr>
        <w:spacing w:before="0" w:after="0" w:line="408" w:lineRule="exact"/>
        <w:ind w:left="0" w:right="0" w:firstLine="576"/>
        <w:jc w:val="left"/>
      </w:pPr>
      <w:r>
        <w:rPr/>
        <w:t xml:space="preserve">The legislature finds that striking racist, religious, and ethnic restrictions or covenants from the chain of title is no different than having an offensive statutory monument which the owner may entirely remove. So too should the owner be able to entirely remove the offensive written monument to racism or other unconstitutional discrimination.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and administer a grant program to review existing recorded covenants and deed restrictions to identify those recorded documents that include racial or other restrictions unlawful under RCW 49.60.224 and provide notice to property owners of such restrictions.</w:t>
      </w:r>
    </w:p>
    <w:p>
      <w:pPr>
        <w:spacing w:before="0" w:after="0" w:line="408" w:lineRule="exact"/>
        <w:ind w:left="0" w:right="0" w:firstLine="576"/>
        <w:jc w:val="left"/>
      </w:pPr>
      <w:r>
        <w:rPr/>
        <w:t xml:space="preserve">(2) The department shall establish a process for accepting grant applications from public and private not-for-profit higher education institutions that are regionally accredited, including application guidelines and deadlines. The department shall begin awarding grants no later than January 1, 2022.</w:t>
      </w:r>
    </w:p>
    <w:p>
      <w:pPr>
        <w:spacing w:before="0" w:after="0" w:line="408" w:lineRule="exact"/>
        <w:ind w:left="0" w:right="0" w:firstLine="576"/>
        <w:jc w:val="left"/>
      </w:pPr>
      <w:r>
        <w:rPr/>
        <w:t xml:space="preserve">(3) The higher education institutions selected to participate in the grant program shall review existing recorded covenants and deed restrictions to identify those recorded documents that include racial or other restrictions on property ownership or use against protected classes that are unlawful under RCW 49.60.224. Higher education institutions shall provide notification to each property owner who owns property subject to such racial or other unlawful restrictions and the county auditor of the county within which the restrictions were found. Selected higher education institutions are encouraged to utilize students, including law and graduate students, to complete the requirements of the grant program as part of educational and training programs.</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2019 c 455 s 3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0"/>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p>
            <w:pPr>
              <w:spacing w:before="0" w:after="0" w:line="408" w:lineRule="exact"/>
              <w:ind w:left="0" w:right="0" w:firstLine="0"/>
              <w:jc w:val="both"/>
            </w:pPr>
            <w:r>
              <w:rPr>
                <w:rFonts w:ascii="Times New Roman" w:hAnsi="Times New Roman"/>
                <w:sz w:val="14"/>
                <w:u w:val="single"/>
              </w:rPr>
              <w:t xml:space="preserve">NOTICE TO THE BUYER: Covenants or deed restrictions based on race, creed, sexual orientation, or other protected class were voided by RCW 49.60.224 and are unenforceable. Washington law allows for the illegal language to be struck by bringing an action in superior court or by the free recording of a restrictive covenant modification document. Many county auditor websites provide a short form with instructions on this process.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 Leased [ ] Owned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 . .</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By whom: </w:t>
            </w:r>
            <w:r>
              <w:tab/>
            </w:r>
          </w:p>
        </w:tc>
      </w:tr>
      <w:tr>
        <w:tc>
          <w:tcPr>
            <w:gridSpan w:val="4"/>
            <w:tcW w:w="13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tab/>
            </w:r>
            <w:r>
              <w:rPr>
                <w:rFonts w:ascii="Times New Roman" w:hAnsi="Times New Roman"/>
                <w:sz w:val="14"/>
              </w:rPr>
              <w:t xml:space="preserve"> bedrooms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spacing w:before="0" w:after="0" w:line="408" w:lineRule="exact"/>
              <w:ind w:left="0" w:right="0" w:firstLine="0"/>
              <w:jc w:val="both"/>
              <w:tabs>
                <w:tab w:val="right" w:leader="dot" w:pos="2408"/>
              </w:tabs>
            </w:pP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spacing w:before="0" w:after="0" w:line="408" w:lineRule="exact"/>
              <w:ind w:left="0" w:right="0" w:firstLine="0"/>
              <w:jc w:val="both"/>
              <w:tabs>
                <w:tab w:val="right" w:leader="dot" w:pos="2408"/>
              </w:tabs>
            </w:pPr>
            <w:r>
              <w:tab/>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15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1520" w:type="dxa"/>
            <w:vAlign w:val="top"/>
            <w:vMerge w:val="restart"/>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vMerge w:val="restart"/>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tabs>
                <w:tab w:val="right" w:leader="dot" w:pos="2408"/>
              </w:tabs>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tabs>
                <w:tab w:val="right" w:leader="dot" w:pos="2128"/>
              </w:tabs>
            </w:pPr>
            <w:r>
              <w:rPr>
                <w:rFonts w:ascii="Times New Roman" w:hAnsi="Times New Roman"/>
                <w:sz w:val="14"/>
              </w:rPr>
              <w:t xml:space="preserve">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Mar>
              <w:left w:w="120"/>
            </w:tcMar>
            <w:tcMar>
              <w:right w:w="120"/>
            </w:tcMar>
            <w:tcMar>
              <w:top w:w="0"/>
            </w:tcMar>
            <w:tcMar>
              <w:bottom w:w="0"/>
            </w:tcMar>
          </w:tcPr>
          <w:p>
            <w:pPr>
              <w:spacing w:before="0" w:after="0" w:line="408" w:lineRule="exact"/>
              <w:ind w:left="0" w:right="0" w:firstLine="0"/>
              <w:jc w:val="both"/>
            </w:pPr>
          </w:p>
        </w:tc>
        <w:tc>
          <w:tcPr>
            <w:gridSpan w:val="3"/>
            <w:tcW w:w="21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Is the property equipped with smoke detection devices?</w:t>
            </w:r>
          </w:p>
          <w:p>
            <w:pPr>
              <w:spacing w:before="0" w:after="0" w:line="408" w:lineRule="exact"/>
              <w:ind w:left="0" w:right="0" w:firstLine="0"/>
              <w:jc w:val="both"/>
            </w:pPr>
            <w:r>
              <w:rPr>
                <w:rFonts w:ascii="Times New Roman" w:hAnsi="Times New Roman"/>
                <w:sz w:val="14"/>
              </w:rPr>
              <w:t xml:space="preserve">(Note: Pursuant to RCW 43.44.110, if the property is not equipped with at least one smoke detection device, at least one must be provided by the seller.)</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 . per [ ] Month [ ] Year</w:t>
            </w:r>
          </w:p>
          <w:p>
            <w:pPr>
              <w:spacing w:before="0" w:after="0" w:line="408" w:lineRule="exact"/>
              <w:ind w:left="0" w:right="0" w:firstLine="0"/>
              <w:jc w:val="both"/>
              <w:tabs>
                <w:tab w:val="right" w:leader="dot" w:pos="2408"/>
              </w:tabs>
            </w:pPr>
            <w:r>
              <w:rPr>
                <w:rFonts w:ascii="Times New Roman" w:hAnsi="Times New Roman"/>
                <w:sz w:val="14"/>
              </w:rPr>
              <w:t xml:space="preserve">[ ] Other </w:t>
            </w:r>
            <w:r>
              <w:tab/>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Mar>
              <w:left w:w="120"/>
            </w:tcMar>
            <w:tcMar>
              <w:right w:w="120"/>
            </w:tcMar>
            <w:tcMar>
              <w:top w:w="0"/>
            </w:tcMar>
            <w:tcMar>
              <w:bottom w:w="0"/>
            </w:tcMar>
          </w:tcPr>
          <w:p>
            <w:pPr>
              <w:spacing w:before="0" w:after="0" w:line="408" w:lineRule="exact"/>
              <w:ind w:left="0" w:right="0" w:firstLine="0"/>
              <w:jc w:val="both"/>
            </w:pPr>
          </w:p>
        </w:tc>
        <w:tc>
          <w:tcPr>
            <w:gridSpan w:val="4"/>
            <w:tcW w:w="2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Mar>
              <w:left w:w="120"/>
            </w:tcMar>
            <w:tcMar>
              <w:right w:w="120"/>
            </w:tcMar>
            <w:tcMar>
              <w:top w:w="0"/>
            </w:tcMar>
            <w:tcMar>
              <w:bottom w:w="0"/>
            </w:tcMar>
          </w:tcPr>
          <w:p>
            <w:pPr>
              <w:spacing w:before="120" w:after="0" w:line="408" w:lineRule="exact"/>
              <w:ind w:left="0" w:right="0" w:firstLine="0"/>
              <w:jc w:val="both"/>
              <w:tabs>
                <w:tab w:val="right" w:leader="dot" w:pos="1308"/>
              </w:tabs>
            </w:pPr>
            <w:r>
              <w:rPr>
                <w:rFonts w:ascii="Times New Roman" w:hAnsi="Times New Roman"/>
                <w:sz w:val="14"/>
              </w:rPr>
              <w:t xml:space="preserve">DATE </w:t>
            </w:r>
            <w:r>
              <w:tab/>
            </w:r>
          </w:p>
        </w:tc>
        <w:tc>
          <w:tcPr>
            <w:gridSpan w:val="4"/>
            <w:tcW w:w="1640" w:type="dxa"/>
            <w:vAlign w:val="top"/>
            <w:tcMar>
              <w:left w:w="120"/>
            </w:tcMar>
            <w:tcMar>
              <w:right w:w="120"/>
            </w:tcMar>
            <w:tcMar>
              <w:top w:w="0"/>
            </w:tcMar>
            <w:tcMar>
              <w:bottom w:w="0"/>
            </w:tcMar>
          </w:tcPr>
          <w:p>
            <w:pPr>
              <w:spacing w:before="120" w:after="0" w:line="408" w:lineRule="exact"/>
              <w:ind w:left="0" w:right="0" w:firstLine="0"/>
              <w:jc w:val="both"/>
              <w:tabs>
                <w:tab w:val="right" w:leader="dot" w:pos="1628"/>
              </w:tabs>
            </w:pPr>
            <w:r>
              <w:rPr>
                <w:rFonts w:ascii="Times New Roman" w:hAnsi="Times New Roman"/>
                <w:sz w:val="14"/>
              </w:rPr>
              <w:t xml:space="preserve">SELLER </w:t>
            </w:r>
            <w:r>
              <w:tab/>
            </w:r>
          </w:p>
        </w:tc>
        <w:tc>
          <w:tcPr>
            <w:gridSpan w:val="2"/>
            <w:tcW w:w="1900" w:type="dxa"/>
            <w:vAlign w:val="top"/>
            <w:tcMar>
              <w:left w:w="120"/>
            </w:tcMar>
            <w:tcMar>
              <w:right w:w="120"/>
            </w:tcMar>
            <w:tcMar>
              <w:top w:w="0"/>
            </w:tcMar>
            <w:tcMar>
              <w:bottom w:w="0"/>
            </w:tcMar>
          </w:tcPr>
          <w:p>
            <w:pPr>
              <w:spacing w:before="120" w:after="0" w:line="408" w:lineRule="exact"/>
              <w:ind w:left="0" w:right="0" w:firstLine="0"/>
              <w:jc w:val="both"/>
              <w:tabs>
                <w:tab w:val="right" w:leader="dot" w:pos="1888"/>
              </w:tabs>
            </w:pPr>
            <w:r>
              <w:rPr>
                <w:rFonts w:ascii="Times New Roman" w:hAnsi="Times New Roman"/>
                <w:sz w:val="14"/>
              </w:rPr>
              <w:t xml:space="preserve">SELLER </w:t>
            </w:r>
            <w:r>
              <w:tab/>
            </w:r>
          </w:p>
        </w:tc>
      </w:tr>
      <w:tr>
        <w:tc>
          <w:tcPr>
            <w:gridSpan w:val="10"/>
            <w:tcW w:w="4860" w:type="dxa"/>
            <w:vAlign w:val="top"/>
            <w:tcMar>
              <w:left w:w="120"/>
            </w:tcMar>
            <w:tcMar>
              <w:right w:w="120"/>
            </w:tcMar>
            <w:tcMar>
              <w:top w:w="0"/>
            </w:tcMar>
            <w:tcMar>
              <w:bottom w:w="0"/>
            </w:tcMar>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Mar>
              <w:left w:w="120"/>
            </w:tcMar>
            <w:tcMar>
              <w:right w:w="120"/>
            </w:tcMar>
            <w:tcMar>
              <w:top w:w="0"/>
            </w:tcMar>
            <w:tcMar>
              <w:bottom w:w="0"/>
            </w:tcMar>
          </w:tcPr>
          <w:p>
            <w:pPr>
              <w:spacing w:before="0" w:after="0" w:line="408" w:lineRule="exact"/>
              <w:ind w:left="0" w:right="0" w:firstLine="0"/>
              <w:jc w:val="both"/>
            </w:pPr>
          </w:p>
        </w:tc>
        <w:tc>
          <w:tcPr>
            <w:gridSpan w:val="8"/>
            <w:tcW w:w="4140" w:type="dxa"/>
            <w:vAlign w:val="top"/>
            <w:tcMar>
              <w:left w:w="120"/>
            </w:tcMar>
            <w:tcMar>
              <w:right w:w="120"/>
            </w:tcMar>
            <w:tcMar>
              <w:top w:w="0"/>
            </w:tcMar>
            <w:tcMar>
              <w:bottom w:w="0"/>
            </w:tcMar>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Mar>
              <w:left w:w="120"/>
            </w:tcMar>
            <w:tcMar>
              <w:right w:w="120"/>
            </w:tcMar>
            <w:tcMar>
              <w:top w:w="0"/>
            </w:tcMar>
            <w:tcMar>
              <w:bottom w:w="0"/>
            </w:tcMar>
          </w:tcPr>
          <w:p>
            <w:pPr>
              <w:spacing w:before="0" w:after="0" w:line="408" w:lineRule="exact"/>
              <w:ind w:left="0" w:right="0" w:firstLine="0"/>
              <w:jc w:val="both"/>
            </w:pPr>
          </w:p>
        </w:tc>
        <w:tc>
          <w:tcPr>
            <w:tcW w:w="42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Mar>
              <w:left w:w="120"/>
            </w:tcMar>
            <w:tcMar>
              <w:right w:w="120"/>
            </w:tcMar>
            <w:tcMar>
              <w:top w:w="0"/>
            </w:tcMar>
            <w:tcMar>
              <w:bottom w:w="0"/>
            </w:tcMar>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2018 c 65 s 1 are each amended to read as follows:</w:t>
      </w:r>
    </w:p>
    <w:p>
      <w:pPr>
        <w:spacing w:before="0" w:after="0" w:line="408" w:lineRule="exact"/>
        <w:ind w:left="0" w:right="0" w:firstLine="576"/>
        <w:jc w:val="left"/>
      </w:pPr>
      <w:r>
        <w:rPr/>
        <w:t xml:space="preserve">(1)(a)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t xml:space="preserve">(b) If the court finds that any provisions of the written instrument are void under RCW 49.60.224, it shall enter an order striking the void provisions from the public records and eliminating the void provisions from the title or lease of the property described in the complaint. </w:t>
      </w:r>
      <w:r>
        <w:rPr>
          <w:u w:val="single"/>
        </w:rPr>
        <w:t xml:space="preserve">The person bringing the action shall deliver the order by email, certified United States mail, or personally to the office of the county auditor, or in charter counties the county official charged with the responsibility for recording instruments in the county records, in the county in which the property is located. The auditor or official shall remove the void provisions entirely from the chain of title by removing the record from the chain of title if feasible, or by striking it through and including the order in the chain of title. A record removed from the chain of title may be preserved for historical or archival purposes.</w:t>
      </w:r>
    </w:p>
    <w:p>
      <w:pPr>
        <w:spacing w:before="0" w:after="0" w:line="408" w:lineRule="exact"/>
        <w:ind w:left="0" w:right="0" w:firstLine="576"/>
        <w:jc w:val="left"/>
      </w:pPr>
      <w:r>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or in charter counties the county official charged with the responsibility for recording instruments in the county records, in the county in which the property is located.</w:t>
      </w:r>
    </w:p>
    <w:p>
      <w:pPr>
        <w:spacing w:before="0" w:after="0" w:line="408" w:lineRule="exact"/>
        <w:ind w:left="0" w:right="0" w:firstLine="576"/>
        <w:jc w:val="left"/>
      </w:pPr>
      <w:r>
        <w:rPr/>
        <w:t xml:space="preserve">(b) The modification document shall contain a recording reference to the original written instrument.</w:t>
      </w:r>
    </w:p>
    <w:p>
      <w:pPr>
        <w:spacing w:before="0" w:after="0" w:line="408" w:lineRule="exact"/>
        <w:ind w:left="0" w:right="0" w:firstLine="576"/>
        <w:jc w:val="left"/>
      </w:pPr>
      <w:r>
        <w:rPr/>
        <w:t xml:space="preserve">(c) The modification document must state, in part:</w:t>
      </w:r>
    </w:p>
    <w:p>
      <w:pPr>
        <w:spacing w:before="0" w:after="0" w:line="408" w:lineRule="exact"/>
        <w:ind w:left="0" w:right="0" w:firstLine="576"/>
        <w:jc w:val="left"/>
      </w:pPr>
      <w:r>
        <w:rPr/>
        <w:t xml:space="preserve">"The referenced original written instrument contains discriminatory provisions that are void and unenforceable under RCW 49.60.224 and federal law. This document strikes from the referenced original instrument all provisions that are void and unenforceable under law."</w:t>
      </w:r>
    </w:p>
    <w:p>
      <w:pPr>
        <w:spacing w:before="0" w:after="0" w:line="408" w:lineRule="exact"/>
        <w:ind w:left="0" w:right="0" w:firstLine="576"/>
        <w:jc w:val="left"/>
      </w:pPr>
      <w:r>
        <w:rPr/>
        <w:t xml:space="preserve">(d) The effective date of the modification document shall be the same as the effective date of the original written instrument.</w:t>
      </w:r>
    </w:p>
    <w:p>
      <w:pPr>
        <w:spacing w:before="0" w:after="0" w:line="408" w:lineRule="exact"/>
        <w:ind w:left="0" w:right="0" w:firstLine="576"/>
        <w:jc w:val="left"/>
      </w:pPr>
      <w:r>
        <w:rPr/>
        <w:t xml:space="preserve">(e) If the owner causes to be recorded a modification document that contains modifications not authorized by this section, the county auditor or recording officer shall not incur liability for recording the document. Any liability that may result is the sole responsibility of the owner who caused the recordation.</w:t>
      </w:r>
    </w:p>
    <w:p>
      <w:pPr>
        <w:spacing w:before="0" w:after="0" w:line="408" w:lineRule="exact"/>
        <w:ind w:left="0" w:right="0" w:firstLine="576"/>
        <w:jc w:val="left"/>
      </w:pPr>
      <w:r>
        <w:rPr/>
        <w:t xml:space="preserve">(f) No filing or recording fees or otherwise authorized surcharges shall be required for the filing of a modification document pursuant to this section.</w:t>
      </w:r>
    </w:p>
    <w:p>
      <w:pPr>
        <w:spacing w:before="0" w:after="0" w:line="408" w:lineRule="exact"/>
        <w:ind w:left="0" w:right="0" w:firstLine="576"/>
        <w:jc w:val="left"/>
      </w:pPr>
      <w:r>
        <w:rPr/>
        <w:t xml:space="preserve">(3) For the purposes of this section, "restrictive covenant modification document" or "modification document" means a standard form developed and designed by the Washington state association of county auditors.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real estate transactions entered into on or after January 1, 2022.</w:t>
      </w:r>
    </w:p>
    <w:p/>
    <w:p>
      <w:pPr>
        <w:jc w:val="center"/>
      </w:pPr>
      <w:r>
        <w:rPr>
          <w:b/>
        </w:rPr>
        <w:t>--- END ---</w:t>
      </w:r>
    </w:p>
    <w:sectPr>
      <w:pgNumType w:start="1"/>
      <w:footerReference xmlns:r="http://schemas.openxmlformats.org/officeDocument/2006/relationships" r:id="R32d658c031714e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2a310d9daf4ffd" /><Relationship Type="http://schemas.openxmlformats.org/officeDocument/2006/relationships/footer" Target="/word/footer1.xml" Id="R32d658c031714eb0" /></Relationships>
</file>