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b46d1aa8d4662" /></Relationships>
</file>

<file path=word/document.xml><?xml version="1.0" encoding="utf-8"?>
<w:document xmlns:w="http://schemas.openxmlformats.org/wordprocessingml/2006/main">
  <w:body>
    <w:p>
      <w:r>
        <w:t>H-0298.1</w:t>
      </w:r>
    </w:p>
    <w:p>
      <w:pPr>
        <w:jc w:val="center"/>
      </w:pPr>
      <w:r>
        <w:t>_______________________________________________</w:t>
      </w:r>
    </w:p>
    <w:p/>
    <w:p>
      <w:pPr>
        <w:jc w:val="center"/>
      </w:pPr>
      <w:r>
        <w:rPr>
          <w:b/>
        </w:rPr>
        <w:t>HOUSE BILL 1259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Santos, Dolan, Ryu, Valdez, Fey, Ramel, Ortiz-Self, Hackney, Ramos, Kloba, Callan, Lekanoff, Macri, Gregerson, Slatter, Stonier, and Harris-Talley</w:t>
      </w:r>
    </w:p>
    <w:p/>
    <w:p>
      <w:r>
        <w:rPr>
          <w:t xml:space="preserve">Read first time 01/18/21.  </w:t>
        </w:rPr>
      </w:r>
      <w:r>
        <w:rPr>
          <w:t xml:space="preserve">Referred to Committee on Community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public contracting opportunities for women and minority business enterprises by increasing the regulatory oversight and accountability of the office of minority and women's business enterprises; amending RCW 39.19.020, 39.19.060, 39.19.080, 39.19.090, 39.19.200, 39.19.250, and 39.04.155; adding a new section to chapter 39.19 RCW;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2019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t xml:space="preserve">(4) </w:t>
      </w:r>
      <w:r>
        <w:rPr>
          <w:u w:val="single"/>
        </w:rPr>
        <w:t xml:space="preserve">"Debar" means to prohibit a contractor, individual, or other entity from submitting a bid, having a bid considered, or entering into a state contract during a specified period of time as set forth in a debarment order.</w:t>
      </w:r>
      <w:r>
        <w:rPr/>
        <w:t xml:space="preserve"> </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2019 c 434 s 3 are each amended to read as follows:</w:t>
      </w:r>
    </w:p>
    <w:p>
      <w:pPr>
        <w:spacing w:before="0" w:after="0" w:line="408" w:lineRule="exact"/>
        <w:ind w:left="0" w:right="0" w:firstLine="576"/>
        <w:jc w:val="left"/>
      </w:pPr>
      <w:r>
        <w:rPr/>
        <w:t xml:space="preserve">(1)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39.26, 43.19, and 47.28 RCW.</w:t>
      </w:r>
    </w:p>
    <w:p>
      <w:pPr>
        <w:spacing w:before="0" w:after="0" w:line="408" w:lineRule="exact"/>
        <w:ind w:left="0" w:right="0" w:firstLine="576"/>
        <w:jc w:val="left"/>
      </w:pPr>
      <w:r>
        <w:rPr/>
        <w:t xml:space="preserve">(2) Each state agency shall adopt a plan, developed in consultation with the director and the advisory committee, to ensure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(1)(a) Except as provided in (b) of this subsection, if</w:t>
      </w:r>
      <w:r>
        <w:rPr/>
        <w:t xml:space="preserve"> a person, firm, corporation, or business does not comply with any provision of this chapter or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w:t>
      </w:r>
      <w:r>
        <w:t>((</w:t>
      </w:r>
      <w:r>
        <w:rPr>
          <w:strike/>
        </w:rPr>
        <w:t xml:space="preserve">ten</w:t>
      </w:r>
      <w:r>
        <w:t>))</w:t>
      </w:r>
      <w:r>
        <w:rPr/>
        <w:t xml:space="preserve"> </w:t>
      </w:r>
      <w:r>
        <w:rPr>
          <w:u w:val="single"/>
        </w:rPr>
        <w:t xml:space="preserve">10</w:t>
      </w:r>
      <w:r>
        <w:rPr/>
        <w:t xml:space="preserve"> percent of the amount of the contract or up to </w:t>
      </w:r>
      <w:r>
        <w:t>((</w:t>
      </w:r>
      <w:r>
        <w:rPr>
          <w:strike/>
        </w:rPr>
        <w:t xml:space="preserve">five thousand dollars</w:t>
      </w:r>
      <w:r>
        <w:t>))</w:t>
      </w:r>
      <w:r>
        <w:rPr/>
        <w:t xml:space="preserve"> </w:t>
      </w:r>
      <w:r>
        <w:rPr>
          <w:u w:val="single"/>
        </w:rPr>
        <w:t xml:space="preserve">$5,000</w:t>
      </w:r>
      <w:r>
        <w:rPr/>
        <w:t xml:space="preserve">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10 percent of the amount of the contract or between $1 and $5,000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audit and review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(c) Subpoenas issued under this section may be enforced under RCW 34.05.588.</w:t>
      </w:r>
    </w:p>
    <w:p>
      <w:pPr>
        <w:spacing w:before="0" w:after="0" w:line="408" w:lineRule="exact"/>
        <w:ind w:left="0" w:right="0" w:firstLine="576"/>
        <w:jc w:val="left"/>
      </w:pPr>
      <w:r>
        <w:rPr>
          <w:u w:val="single"/>
        </w:rPr>
        <w:t xml:space="preserve">(d) The audit and review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2019 c 434 s 4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who are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2019 c 434 s 5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 hundred fifty thousand dollars</w:t>
      </w:r>
      <w:r>
        <w:t>))</w:t>
      </w:r>
      <w:r>
        <w:rPr/>
        <w:t xml:space="preserve"> </w:t>
      </w:r>
      <w:r>
        <w:rPr>
          <w:u w:val="single"/>
        </w:rPr>
        <w:t xml:space="preserve">$500,000</w:t>
      </w:r>
      <w:r>
        <w:rPr/>
        <w:t xml:space="preserve">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w:t>
      </w:r>
      <w:r>
        <w:t>((</w:t>
      </w:r>
      <w:r>
        <w:rPr>
          <w:strike/>
        </w:rPr>
        <w:t xml:space="preserve">two hundred fifty thousand dollars</w:t>
      </w:r>
      <w:r>
        <w:t>))</w:t>
      </w:r>
      <w:r>
        <w:rPr/>
        <w:t xml:space="preserve"> </w:t>
      </w:r>
      <w:r>
        <w:rPr>
          <w:u w:val="single"/>
        </w:rPr>
        <w:t xml:space="preserve">$150,000</w:t>
      </w:r>
      <w:r>
        <w:rPr/>
        <w:t xml:space="preserve"> to </w:t>
      </w:r>
      <w:r>
        <w:t>((</w:t>
      </w:r>
      <w:r>
        <w:rPr>
          <w:strike/>
        </w:rPr>
        <w:t xml:space="preserve">three hundred fifty thousand dollars</w:t>
      </w:r>
      <w:r>
        <w:t>))</w:t>
      </w:r>
      <w:r>
        <w:rPr/>
        <w:t xml:space="preserve"> </w:t>
      </w:r>
      <w:r>
        <w:rPr>
          <w:u w:val="single"/>
        </w:rPr>
        <w:t xml:space="preserve">$500,000</w:t>
      </w:r>
      <w:r>
        <w:rPr/>
        <w:t xml:space="preserve">,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at least one of the following: Telephone or electronic request.</w:t>
      </w:r>
    </w:p>
    <w:p>
      <w:pPr>
        <w:spacing w:before="0" w:after="0" w:line="408" w:lineRule="exact"/>
        <w:ind w:left="0" w:right="0" w:firstLine="576"/>
        <w:jc w:val="left"/>
      </w:pPr>
      <w:r>
        <w:rPr/>
        <w:t xml:space="preserve">(f) For projects awarded under the small works roster process established under this subsection, a state agency or authorized local government may waive the retainage requirements of RCW 60.28.011(1)(a), thereby assuming the liability for contractor's nonpayment of: (i) Laborers, mechanics, subcontractors, materialpersons, and suppliers; and (ii) taxes, increases, and penalties under Titles 50, 51, and 82 RCW that may be due from the contractor for the project. However, the state agency or local government has the right of recovery against the contractor for any payments made on the contractor's behalf. Recovery of unpaid wages and benefits are the first priority for actions filed against the contract.</w:t>
      </w:r>
    </w:p>
    <w:p>
      <w:pPr>
        <w:spacing w:before="0" w:after="0" w:line="408" w:lineRule="exact"/>
        <w:ind w:left="0" w:right="0" w:firstLine="576"/>
        <w:jc w:val="left"/>
      </w:pPr>
      <w:r>
        <w:rPr/>
        <w:t xml:space="preserve">(3)(a) In lieu of awarding contracts under subsection (2) of this section, a state agency or authorized local government may award a contract for work, construction, alteration, repair, or improvement projects estimated to cost less </w:t>
      </w:r>
      <w:r>
        <w:rPr/>
        <w:t xml:space="preserve">than </w:t>
      </w:r>
      <w:r>
        <w:t>((</w:t>
      </w:r>
      <w:r>
        <w:rPr>
          <w:strike/>
        </w:rPr>
        <w:t xml:space="preserve">fifty thousand dollars</w:t>
      </w:r>
      <w:r>
        <w:t>))</w:t>
      </w:r>
      <w:r>
        <w:rPr/>
        <w:t xml:space="preserve"> </w:t>
      </w:r>
      <w:r>
        <w:rPr>
          <w:u w:val="single"/>
        </w:rPr>
        <w:t xml:space="preserve">$150,000</w:t>
      </w:r>
      <w:r>
        <w:rPr/>
        <w:t xml:space="preserve">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t xml:space="preserve">(b)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must equitably distribute opportunities for limited public works projects among contractors willing to perform in the geographic area of the work. A state agency or authorized local government shall maintain a list of the contractors contacted and the contracts awarded during the previous </w:t>
      </w:r>
      <w:r>
        <w:t>((</w:t>
      </w:r>
      <w:r>
        <w:rPr>
          <w:strike/>
        </w:rPr>
        <w:t xml:space="preserve">twenty-four</w:t>
      </w:r>
      <w:r>
        <w:t>))</w:t>
      </w:r>
      <w:r>
        <w:rPr/>
        <w:t xml:space="preserve"> </w:t>
      </w:r>
      <w:r>
        <w:rPr>
          <w:u w:val="single"/>
        </w:rPr>
        <w:t xml:space="preserve">24</w:t>
      </w:r>
      <w:r>
        <w:rPr/>
        <w:t xml:space="preserve">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may waive the retainage requirements of RCW 60.28.011(1)(a), thereby assuming the liability for the contractor's nonpayment of laborers, mechanics, subcontractors, materialpersons, suppliers, and taxes, increases, and penalties imposed under Titles 50, 51, and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 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"Equitably distribute opportunities"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t xml:space="preserve">(b)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263cf148a25b4a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27d4ab03324b95" /><Relationship Type="http://schemas.openxmlformats.org/officeDocument/2006/relationships/footer" Target="/word/footer1.xml" Id="R263cf148a25b4a48" /></Relationships>
</file>