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074e8ef9e4fb1" /></Relationships>
</file>

<file path=word/document.xml><?xml version="1.0" encoding="utf-8"?>
<w:document xmlns:w="http://schemas.openxmlformats.org/wordprocessingml/2006/main">
  <w:body>
    <w:p>
      <w:r>
        <w:t>H-2175.1</w:t>
      </w:r>
    </w:p>
    <w:p>
      <w:pPr>
        <w:jc w:val="center"/>
      </w:pPr>
      <w:r>
        <w:t>_______________________________________________</w:t>
      </w:r>
    </w:p>
    <w:p/>
    <w:p>
      <w:pPr>
        <w:jc w:val="center"/>
      </w:pPr>
      <w:r>
        <w:rPr>
          <w:b/>
        </w:rPr>
        <w:t>SECOND SUBSTITUTE HOUSE BILL 1241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Local Government (originally sponsored by Representatives Duerr, Berg, Ortiz-Self, Bateman, Wicks, Macri, Harris-Talley, and Pollet)</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under the growth management act; and reenacting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2020 c 113 s 1 and 2020 c 20 s 1026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w:t>
      </w:r>
      <w:r>
        <w:t>((</w:t>
      </w:r>
      <w:r>
        <w:rPr>
          <w:strike/>
        </w:rPr>
        <w:t xml:space="preserve">June 30</w:t>
      </w:r>
      <w:r>
        <w:t>))</w:t>
      </w:r>
      <w:r>
        <w:rPr/>
        <w:t xml:space="preserve"> </w:t>
      </w:r>
      <w:r>
        <w:rPr>
          <w:u w:val="single"/>
        </w:rPr>
        <w:t xml:space="preserve">December 31</w:t>
      </w:r>
      <w:r>
        <w:rPr/>
        <w:t xml:space="preserve">, 2024, </w:t>
      </w:r>
      <w:r>
        <w:rPr>
          <w:u w:val="single"/>
        </w:rPr>
        <w:t xml:space="preserve">with the following review and, if needed, revision on or before June 30, 2034,</w:t>
      </w:r>
      <w:r>
        <w:rPr/>
        <w:t xml:space="preserve"> and </w:t>
      </w:r>
      <w:r>
        <w:rPr>
          <w:u w:val="single"/>
        </w:rPr>
        <w:t xml:space="preserve">then</w:t>
      </w:r>
      <w:r>
        <w:rPr/>
        <w:t xml:space="preserve"> every </w:t>
      </w:r>
      <w:r>
        <w:t>((</w:t>
      </w:r>
      <w:r>
        <w:rPr>
          <w:strike/>
        </w:rPr>
        <w:t xml:space="preserve">eight</w:t>
      </w:r>
      <w:r>
        <w:t>))</w:t>
      </w:r>
      <w:r>
        <w:rPr/>
        <w:t xml:space="preserve"> </w:t>
      </w:r>
      <w:r>
        <w:rPr>
          <w:u w:val="single"/>
        </w:rPr>
        <w:t xml:space="preserve">ten</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eight</w:t>
      </w:r>
      <w:r>
        <w:t>))</w:t>
      </w:r>
      <w:r>
        <w:rPr/>
        <w:t xml:space="preserve"> </w:t>
      </w:r>
      <w:r>
        <w:rPr>
          <w:u w:val="single"/>
        </w:rPr>
        <w:t xml:space="preserve">ten</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eight</w:t>
      </w:r>
      <w:r>
        <w:t>))</w:t>
      </w:r>
      <w:r>
        <w:rPr/>
        <w:t xml:space="preserve"> </w:t>
      </w:r>
      <w:r>
        <w:rPr>
          <w:u w:val="single"/>
        </w:rPr>
        <w:t xml:space="preserve">ten</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eight</w:t>
      </w:r>
      <w:r>
        <w:t>))</w:t>
      </w:r>
      <w:r>
        <w:rPr/>
        <w:t xml:space="preserve"> </w:t>
      </w:r>
      <w:r>
        <w:rPr>
          <w:u w:val="single"/>
        </w:rPr>
        <w:t xml:space="preserve">ten</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w:t>
      </w:r>
      <w:r>
        <w:t>((</w:t>
      </w:r>
      <w:r>
        <w:rPr>
          <w:strike/>
        </w:rPr>
        <w:t xml:space="preserve">(a)(ii) through (iv) [(b) through (d)]</w:t>
      </w:r>
      <w:r>
        <w:t>))</w:t>
      </w:r>
      <w:r>
        <w:rPr/>
        <w:t xml:space="preserve">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w:t>
      </w:r>
      <w:r>
        <w:t>((</w:t>
      </w:r>
      <w:r>
        <w:rPr>
          <w:strike/>
        </w:rPr>
        <w:t xml:space="preserve">(a)(ii) through (iv) [(b) through (d)]</w:t>
      </w:r>
      <w:r>
        <w:t>))</w:t>
      </w:r>
      <w:r>
        <w:rPr/>
        <w:t xml:space="preserve">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u w:val="single"/>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January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January 1, 2021, even if the county later no longer meets either or both criteria. A county is subject to the implementation progress report requirement if it meets either of the following criteria on or after January 1, 2021:</w:t>
      </w:r>
    </w:p>
    <w:p>
      <w:pPr>
        <w:spacing w:before="0" w:after="0" w:line="408" w:lineRule="exact"/>
        <w:ind w:left="0" w:right="0" w:firstLine="576"/>
        <w:jc w:val="left"/>
      </w:pPr>
      <w:r>
        <w:rPr>
          <w:u w:val="single"/>
        </w:rPr>
        <w:t xml:space="preserve">(i) The county has a population density of at least 100 people per square mile and a population of at least 200,000; or</w:t>
      </w:r>
    </w:p>
    <w:p>
      <w:pPr>
        <w:spacing w:before="0" w:after="0" w:line="408" w:lineRule="exact"/>
        <w:ind w:left="0" w:right="0" w:firstLine="576"/>
        <w:jc w:val="left"/>
      </w:pPr>
      <w:r>
        <w:rPr>
          <w:u w:val="single"/>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u w:val="single"/>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u w:val="single"/>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u w:val="single"/>
        </w:rPr>
        <w:t xml:space="preserve">(ii) Permit processing timelines; and</w:t>
      </w:r>
    </w:p>
    <w:p>
      <w:pPr>
        <w:spacing w:before="0" w:after="0" w:line="408" w:lineRule="exact"/>
        <w:ind w:left="0" w:right="0" w:firstLine="576"/>
        <w:jc w:val="left"/>
      </w:pPr>
      <w:r>
        <w:rPr>
          <w:u w:val="single"/>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u w:val="single"/>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
      <w:pPr>
        <w:jc w:val="center"/>
      </w:pPr>
      <w:r>
        <w:rPr>
          <w:b/>
        </w:rPr>
        <w:t>--- END ---</w:t>
      </w:r>
    </w:p>
    <w:sectPr>
      <w:pgNumType w:start="1"/>
      <w:footerReference xmlns:r="http://schemas.openxmlformats.org/officeDocument/2006/relationships" r:id="R01d06556aa154c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a487b2d2c64d7e" /><Relationship Type="http://schemas.openxmlformats.org/officeDocument/2006/relationships/footer" Target="/word/footer1.xml" Id="R01d06556aa154cb7" /></Relationships>
</file>