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2105aa172421c" /></Relationships>
</file>

<file path=word/document.xml><?xml version="1.0" encoding="utf-8"?>
<w:document xmlns:w="http://schemas.openxmlformats.org/wordprocessingml/2006/main">
  <w:body>
    <w:p>
      <w:r>
        <w:t>H-1059.1</w:t>
      </w:r>
    </w:p>
    <w:p>
      <w:pPr>
        <w:jc w:val="center"/>
      </w:pPr>
      <w:r>
        <w:t>_______________________________________________</w:t>
      </w:r>
    </w:p>
    <w:p/>
    <w:p>
      <w:pPr>
        <w:jc w:val="center"/>
      </w:pPr>
      <w:r>
        <w:rPr>
          <w:b/>
        </w:rPr>
        <w:t>SECOND SUBSTITUTE HOUSE BILL 1219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Frame, J. Johnson, Ramos, Bateman, Peterson, Fitzgibbon, Davis, Ryu, Fey, Senn, Lovick, Chase, Orwall, Taylor, Santos, Thai, Ortiz-Self, Ormsby, Simmons, Slatter, Berg, Chopp, Bergquist, Callan, Valdez, Macri, Goodman, Tharinger, Harris-Talley, Ybarra, and Hackney)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of counsel for youth in dependency court proceedings; amending RCW 13.34.090, 13.34.092, 13.34.100, 2.53.045, and 13.34.267; adding new sections to chapter 2.53 RCW; adding new sections to chapter 13.34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dependency proceedings determine many critical aspects of a child's future, including whether the child may remain at home with their family, whether and how often the child sees their parents and siblings if they do not remain with their family, where the child attends school, and how long the child remains in state care. Children and youth, regardless of age, have many legal rights at stake in these proceedings, including a right to maintain family relationships, a right to freedom from harm, and a right to reasonable safety. Standards-based representation by a well-qualified attorney can be invaluable in protecting and advancing the child's legal rights and, where articulable, stated interests. Attorneys can advise and assist children and youth in presenting their experiences and position to the court, improving the court's comprehensive decision making.</w:t>
      </w:r>
    </w:p>
    <w:p>
      <w:pPr>
        <w:spacing w:before="0" w:after="0" w:line="408" w:lineRule="exact"/>
        <w:ind w:left="0" w:right="0" w:firstLine="576"/>
        <w:jc w:val="left"/>
      </w:pPr>
      <w:r>
        <w:rPr/>
        <w:t xml:space="preserve">(2) The legislature further recognizes that appointing attorneys to provide standards-based legal representation for children and youth in dependency proceedings has been shown to result in more timely permanency for children and youth, increased school and placement stability, and increased contact with parents and siblings.</w:t>
      </w:r>
    </w:p>
    <w:p>
      <w:pPr>
        <w:spacing w:before="0" w:after="0" w:line="408" w:lineRule="exact"/>
        <w:ind w:left="0" w:right="0" w:firstLine="576"/>
        <w:jc w:val="left"/>
      </w:pPr>
      <w:r>
        <w:rPr/>
        <w:t xml:space="preserve">(3) The legislature finds that the current system for child legal representation is inadequate and has resulted in a patchwork system that varies by county leading to many children and youth not having equal access to the court process. This is particularly true when significant events, such as the COVID-19 pandemic, result in sudden changes to court rules and procedures.</w:t>
      </w:r>
    </w:p>
    <w:p>
      <w:pPr>
        <w:spacing w:before="0" w:after="0" w:line="408" w:lineRule="exact"/>
        <w:ind w:left="0" w:right="0" w:firstLine="576"/>
        <w:jc w:val="left"/>
      </w:pPr>
      <w:r>
        <w:rPr/>
        <w:t xml:space="preserve">(4) The legislature further finds that Black and Indigenous children and youth and other youth of color are much more likely to be removed from their parents' care, placed into foster care, and remain in the child welfare system longer than White children. Systemic racism contributes to this overrepresentation and to the lack of meaningful access to the court process for children and their families. It is the intent of the legislature to ensure that any expansion of legal representation actively combat this disproportionality.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2017 3rd sp.s. c 6 s 303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w:t>
      </w:r>
      <w:r>
        <w:rPr>
          <w:u w:val="single"/>
        </w:rPr>
        <w:t xml:space="preserve">At all stages of a proceeding in which a child is alleged to be dependent, the child has the right to be represented by counsel. Counsel shall be provided at public expense subject to the phase-in schedule as provided in section 6 of this act.</w:t>
      </w:r>
    </w:p>
    <w:p>
      <w:pPr>
        <w:spacing w:before="0" w:after="0" w:line="408" w:lineRule="exact"/>
        <w:ind w:left="0" w:right="0" w:firstLine="576"/>
        <w:jc w:val="left"/>
      </w:pPr>
      <w:r>
        <w:rPr>
          <w:u w:val="single"/>
        </w:rPr>
        <w:t xml:space="preserve">(4)</w:t>
      </w:r>
      <w:r>
        <w:rPr/>
        <w:t xml:space="preserve">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Copies of department </w:t>
      </w:r>
      <w:r>
        <w:t>((</w:t>
      </w:r>
      <w:r>
        <w:rPr>
          <w:strike/>
        </w:rPr>
        <w:t xml:space="preserve">or supervising agency</w:t>
      </w:r>
      <w:r>
        <w:t>))</w:t>
      </w:r>
      <w:r>
        <w:rPr/>
        <w:t xml:space="preserve"> records to which </w:t>
      </w:r>
      <w:r>
        <w:rPr>
          <w:u w:val="single"/>
        </w:rPr>
        <w:t xml:space="preserve">the child and the child's</w:t>
      </w:r>
      <w:r>
        <w:rPr/>
        <w:t xml:space="preserve"> parents have legal access pursuant to chapter 13.50 RCW shall be given to the </w:t>
      </w:r>
      <w:r>
        <w:t>((</w:t>
      </w:r>
      <w:r>
        <w:rPr>
          <w:strike/>
        </w:rPr>
        <w:t xml:space="preserve">child's parent</w:t>
      </w:r>
      <w:r>
        <w:t>))</w:t>
      </w:r>
      <w:r>
        <w:rPr/>
        <w:t xml:space="preserve"> </w:t>
      </w:r>
      <w:r>
        <w:rPr>
          <w:u w:val="single"/>
        </w:rPr>
        <w:t xml:space="preserve">child or child's counsel, and the parents</w:t>
      </w:r>
      <w:r>
        <w:rPr/>
        <w:t xml:space="preserve">, guardian, legal custodian, or his or her legal counsel, prior to any shelter care hearing and within </w:t>
      </w:r>
      <w:r>
        <w:t>((</w:t>
      </w:r>
      <w:r>
        <w:rPr>
          <w:strike/>
        </w:rPr>
        <w:t xml:space="preserve">fifteen</w:t>
      </w:r>
      <w:r>
        <w:t>))</w:t>
      </w:r>
      <w:r>
        <w:rPr/>
        <w:t xml:space="preserve"> </w:t>
      </w:r>
      <w:r>
        <w:rPr>
          <w:u w:val="single"/>
        </w:rPr>
        <w:t xml:space="preserve">15</w:t>
      </w:r>
      <w:r>
        <w:rPr/>
        <w:t xml:space="preserve"> days after the department </w:t>
      </w:r>
      <w:r>
        <w:t>((</w:t>
      </w:r>
      <w:r>
        <w:rPr>
          <w:strike/>
        </w:rPr>
        <w:t xml:space="preserve">or supervising agency</w:t>
      </w:r>
      <w:r>
        <w:t>))</w:t>
      </w:r>
      <w:r>
        <w:rPr/>
        <w:t xml:space="preserve"> receives a written request for such records from the </w:t>
      </w:r>
      <w:r>
        <w:t>((</w:t>
      </w:r>
      <w:r>
        <w:rPr>
          <w:strike/>
        </w:rPr>
        <w:t xml:space="preserve">parent</w:t>
      </w:r>
      <w:r>
        <w:t>))</w:t>
      </w:r>
      <w:r>
        <w:rPr/>
        <w:t xml:space="preserve"> </w:t>
      </w:r>
      <w:r>
        <w:rPr>
          <w:u w:val="single"/>
        </w:rPr>
        <w:t xml:space="preserve">child or child's counsel, and the parents</w:t>
      </w:r>
      <w:r>
        <w:rPr/>
        <w:t xml:space="preserve">,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w:t>
      </w:r>
      <w:r>
        <w:rPr>
          <w:u w:val="single"/>
        </w:rPr>
        <w:t xml:space="preserve">child or child's counsel, and the</w:t>
      </w:r>
      <w:r>
        <w:rPr/>
        <w:t xml:space="preserve"> parents, guardian, legal custodian, or his or her counsel. When the records are served on legal counsel, legal counsel shall have the opportunity to review the records with the </w:t>
      </w:r>
      <w:r>
        <w:t>((</w:t>
      </w:r>
      <w:r>
        <w:rPr>
          <w:strike/>
        </w:rPr>
        <w:t xml:space="preserve">parents</w:t>
      </w:r>
      <w:r>
        <w:t>))</w:t>
      </w:r>
      <w:r>
        <w:rPr/>
        <w:t xml:space="preserve"> </w:t>
      </w:r>
      <w:r>
        <w:rPr>
          <w:u w:val="single"/>
        </w:rPr>
        <w:t xml:space="preserve">client</w:t>
      </w:r>
      <w:r>
        <w:rPr/>
        <w:t xml:space="preserve"> and shall review the records with the </w:t>
      </w:r>
      <w:r>
        <w:t>((</w:t>
      </w:r>
      <w:r>
        <w:rPr>
          <w:strike/>
        </w:rPr>
        <w:t xml:space="preserve">parents</w:t>
      </w:r>
      <w:r>
        <w:t>))</w:t>
      </w:r>
      <w:r>
        <w:rPr/>
        <w:t xml:space="preserve"> </w:t>
      </w:r>
      <w:r>
        <w:rPr>
          <w:u w:val="single"/>
        </w:rPr>
        <w:t xml:space="preserve">client</w:t>
      </w:r>
      <w:r>
        <w:rPr/>
        <w:t xml:space="preserve">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092</w:t>
      </w:r>
      <w:r>
        <w:rPr/>
        <w:t xml:space="preserve"> and 2000 c 122 s 6 are each amended to read as follows:</w:t>
      </w:r>
    </w:p>
    <w:p>
      <w:pPr>
        <w:spacing w:before="0" w:after="0" w:line="408" w:lineRule="exact"/>
        <w:ind w:left="0" w:right="0" w:firstLine="576"/>
        <w:jc w:val="left"/>
      </w:pPr>
      <w:r>
        <w:rPr/>
        <w:t xml:space="preserve">At the commencement of the shelter care hearing the court shall advise the parties of basic rights as provided in RCW 13.34.090 and appoint counsel </w:t>
      </w:r>
      <w:r>
        <w:rPr>
          <w:u w:val="single"/>
        </w:rPr>
        <w:t xml:space="preserve">to the child's parent, guardian, or legal custodian</w:t>
      </w:r>
      <w:r>
        <w:rPr/>
        <w:t xml:space="preserve"> pursuant to RCW 13.34.090 if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is indigent unless counsel has been retained by the parent </w:t>
      </w:r>
      <w:r>
        <w:t>((</w:t>
      </w:r>
      <w:r>
        <w:rPr>
          <w:strike/>
        </w:rPr>
        <w:t xml:space="preserve">or</w:t>
      </w:r>
      <w:r>
        <w:t>))</w:t>
      </w:r>
      <w:r>
        <w:rPr>
          <w:u w:val="single"/>
        </w:rPr>
        <w:t xml:space="preserve">,</w:t>
      </w:r>
      <w:r>
        <w:rPr/>
        <w:t xml:space="preserve"> guardian</w:t>
      </w:r>
      <w:r>
        <w:rPr>
          <w:u w:val="single"/>
        </w:rPr>
        <w:t xml:space="preserve">, or legal custodian</w:t>
      </w:r>
      <w:r>
        <w:rPr/>
        <w:t xml:space="preserve"> or the court finds that the right to counsel has been expressly and voluntarily waived in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2019 c 57 s 1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w:t>
      </w:r>
    </w:p>
    <w:p>
      <w:pPr>
        <w:spacing w:before="0" w:after="0" w:line="408" w:lineRule="exact"/>
        <w:ind w:left="0" w:right="0" w:firstLine="576"/>
        <w:jc w:val="left"/>
      </w:pPr>
      <w:r>
        <w:rPr/>
        <w:t xml:space="preserve">The background information record shall be updated annually and fingerprint-based background checks shall be updated every three years.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The portion of the background information record containing the results of the criminal background check and the criminal history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w:t>
      </w:r>
      <w:r>
        <w:t>((</w:t>
      </w:r>
      <w:r>
        <w:rPr>
          <w:strike/>
        </w:rPr>
        <w:t xml:space="preserve">(a)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strike/>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strike/>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strike/>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strike/>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strike/>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strike/>
        </w:rPr>
        <w:t xml:space="preserve">(iii) The office of civil legal aid is responsible for implementation of (c)(i) and (ii) of this subsection as provided in RCW 2.53.045.</w:t>
      </w:r>
    </w:p>
    <w:p>
      <w:pPr>
        <w:spacing w:before="0" w:after="0" w:line="408" w:lineRule="exact"/>
        <w:ind w:left="0" w:right="0" w:firstLine="576"/>
        <w:jc w:val="left"/>
      </w:pPr>
      <w:r>
        <w:rPr>
          <w:strike/>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strike/>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strike/>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strike/>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strike/>
        </w:rPr>
        <w:t xml:space="preserve">(ii) Nothing in this subsection (7)(b) shall be construed to change or alter the confidentiality provisions of RCW 13.50.100.</w:t>
      </w:r>
    </w:p>
    <w:p>
      <w:pPr>
        <w:spacing w:before="0" w:after="0" w:line="408" w:lineRule="exact"/>
        <w:ind w:left="0" w:right="0" w:firstLine="576"/>
        <w:jc w:val="left"/>
      </w:pPr>
      <w:r>
        <w:rPr>
          <w:strike/>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Assignment of a case involving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576"/>
        <w:jc w:val="left"/>
      </w:pPr>
      <w:r>
        <w:rPr>
          <w:strike/>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strike/>
        </w:rPr>
        <w:t xml:space="preserve">(e) The notification and inquiry is not required if the child has already been appointed an attorney.</w:t>
      </w:r>
    </w:p>
    <w:p>
      <w:pPr>
        <w:spacing w:before="0" w:after="0" w:line="408" w:lineRule="exact"/>
        <w:ind w:left="0" w:right="0" w:firstLine="576"/>
        <w:jc w:val="left"/>
      </w:pPr>
      <w:r>
        <w:rPr>
          <w:strike/>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strike/>
        </w:rPr>
        <w:t xml:space="preserve">(g) At the first regularly scheduled hearing after:</w:t>
      </w:r>
    </w:p>
    <w:p>
      <w:pPr>
        <w:spacing w:before="0" w:after="0" w:line="408" w:lineRule="exact"/>
        <w:ind w:left="0" w:right="0" w:firstLine="576"/>
        <w:jc w:val="left"/>
      </w:pPr>
      <w:r>
        <w:rPr>
          <w:strike/>
        </w:rPr>
        <w:t xml:space="preserve">(i) The date of the child's twelfth birthday;</w:t>
      </w:r>
    </w:p>
    <w:p>
      <w:pPr>
        <w:spacing w:before="0" w:after="0" w:line="408" w:lineRule="exact"/>
        <w:ind w:left="0" w:right="0" w:firstLine="576"/>
        <w:jc w:val="left"/>
      </w:pPr>
      <w:r>
        <w:rPr>
          <w:strike/>
        </w:rPr>
        <w:t xml:space="preserve">(ii) The date that a dependency petition is filed pursuant to this chapter on a child age twelve or older; or</w:t>
      </w:r>
    </w:p>
    <w:p>
      <w:pPr>
        <w:spacing w:before="0" w:after="0" w:line="408" w:lineRule="exact"/>
        <w:ind w:left="0" w:right="0" w:firstLine="576"/>
        <w:jc w:val="left"/>
      </w:pPr>
      <w:r>
        <w:rPr>
          <w:strike/>
        </w:rPr>
        <w:t xml:space="preserve">(iii) July 1, 2010, for a child who turned twelve years old before July 1, 2010;</w:t>
      </w:r>
    </w:p>
    <w:p>
      <w:pPr>
        <w:spacing w:before="0" w:after="0" w:line="408" w:lineRule="exact"/>
        <w:ind w:left="0" w:right="0" w:firstLine="0"/>
        <w:jc w:val="left"/>
      </w:pPr>
      <w:r>
        <w:rPr>
          <w:strike/>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strike/>
        </w:rPr>
        <w:t xml:space="preserve">(8)</w:t>
      </w:r>
      <w:r>
        <w:t>))</w:t>
      </w:r>
      <w:r>
        <w:rPr/>
        <w:t xml:space="preserve">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The court shall remove any person from serving as a court-appointed special advocate or volunteer guardian ad litem if the court is notified that the person has been removed from another county's registry pursuant to the disposition of a grievance or if the court is otherwise made aware that the individual was found by a court to have made a materially false statement that he or she knows to be false during an official proceeding under oath.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statewide children's legal representation program is established within the office of civil legal aid. The children's legal representation program shall ensure the provision of standards-based representation informed by best practice models, rigorous data analysis, race and other equity considerations that cause or perpetuate racial and other disparities in the child welfare system, involvement of stakeholders, including youth and young adults impacted by the system.   </w:t>
      </w:r>
    </w:p>
    <w:p>
      <w:pPr>
        <w:spacing w:before="0" w:after="0" w:line="408" w:lineRule="exact"/>
        <w:ind w:left="0" w:right="0" w:firstLine="576"/>
        <w:jc w:val="left"/>
      </w:pPr>
      <w:r>
        <w:rPr/>
        <w:t xml:space="preserve">(2) The statewide children's legal representation program is responsible for implementation of section 6 of this act and RCW 2.53.045 except that it is the court's responsibility to appoint attorneys in dependency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of this act.</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six-year period. The schedule required under this subsection must:</w:t>
      </w:r>
    </w:p>
    <w:p>
      <w:pPr>
        <w:spacing w:before="0" w:after="0" w:line="408" w:lineRule="exact"/>
        <w:ind w:left="0" w:right="0" w:firstLine="576"/>
        <w:jc w:val="left"/>
      </w:pPr>
      <w:r>
        <w:rPr/>
        <w:t xml:space="preserve">(i) Prioritize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 and</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t xml:space="preserve">(iii) Achieve full statewide implementation by January 1, 2027;</w:t>
      </w:r>
    </w:p>
    <w:p>
      <w:pPr>
        <w:spacing w:before="0" w:after="0" w:line="408" w:lineRule="exact"/>
        <w:ind w:left="0" w:right="0" w:firstLine="576"/>
        <w:jc w:val="left"/>
      </w:pPr>
      <w:r>
        <w:rPr/>
        <w:t xml:space="preserve">(iv)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(d)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045</w:t>
      </w:r>
      <w:r>
        <w:rPr/>
        <w:t xml:space="preserve"> and 2018 c 21 s 3 are each amended to read as follows:</w:t>
      </w:r>
    </w:p>
    <w:p>
      <w:pPr>
        <w:spacing w:before="0" w:after="0" w:line="408" w:lineRule="exact"/>
        <w:ind w:left="0" w:right="0" w:firstLine="576"/>
        <w:jc w:val="left"/>
      </w:pPr>
      <w:r>
        <w:rPr/>
        <w:t xml:space="preserve">(1) Money appropriated by the legislature for legal services provided by an attorney appointed pursuant to </w:t>
      </w:r>
      <w:r>
        <w:t>((</w:t>
      </w:r>
      <w:r>
        <w:rPr>
          <w:strike/>
        </w:rPr>
        <w:t xml:space="preserve">RCW 13.34.100</w:t>
      </w:r>
      <w:r>
        <w:t>))</w:t>
      </w:r>
      <w:r>
        <w:rPr/>
        <w:t xml:space="preserve"> </w:t>
      </w:r>
      <w:r>
        <w:rPr>
          <w:u w:val="single"/>
        </w:rPr>
        <w:t xml:space="preserve">section 6 of this act</w:t>
      </w:r>
      <w:r>
        <w:rPr/>
        <w:t xml:space="preserve"> must be administered by the office of civil legal aid established under RCW 2.53.020.</w:t>
      </w:r>
    </w:p>
    <w:p>
      <w:pPr>
        <w:spacing w:before="0" w:after="0" w:line="408" w:lineRule="exact"/>
        <w:ind w:left="0" w:right="0" w:firstLine="576"/>
        <w:jc w:val="left"/>
      </w:pPr>
      <w:r>
        <w:rPr/>
        <w:t xml:space="preserve">(2) The </w:t>
      </w:r>
      <w:r>
        <w:t>((</w:t>
      </w:r>
      <w:r>
        <w:rPr>
          <w:strike/>
        </w:rPr>
        <w:t xml:space="preserve">office of civil legal aid</w:t>
      </w:r>
      <w:r>
        <w:t>))</w:t>
      </w:r>
      <w:r>
        <w:rPr/>
        <w:t xml:space="preserve"> </w:t>
      </w:r>
      <w:r>
        <w:rPr>
          <w:u w:val="single"/>
        </w:rPr>
        <w:t xml:space="preserve">statewide children's legal representation program</w:t>
      </w:r>
      <w:r>
        <w:rPr/>
        <w:t xml:space="preserve"> shall enter into contracts with attorneys and agencies for the provision of legal services under </w:t>
      </w:r>
      <w:r>
        <w:t>((</w:t>
      </w:r>
      <w:r>
        <w:rPr>
          <w:strike/>
        </w:rPr>
        <w:t xml:space="preserve">RCW 13.34.100</w:t>
      </w:r>
      <w:r>
        <w:t>))</w:t>
      </w:r>
      <w:r>
        <w:rPr/>
        <w:t xml:space="preserve"> </w:t>
      </w:r>
      <w:r>
        <w:rPr>
          <w:u w:val="single"/>
        </w:rPr>
        <w:t xml:space="preserve">section 5 of this act</w:t>
      </w:r>
      <w:r>
        <w:rPr/>
        <w:t xml:space="preserve"> to remain within appropriated amounts.</w:t>
      </w:r>
    </w:p>
    <w:p>
      <w:pPr>
        <w:spacing w:before="0" w:after="0" w:line="408" w:lineRule="exact"/>
        <w:ind w:left="0" w:right="0" w:firstLine="576"/>
        <w:jc w:val="left"/>
      </w:pPr>
      <w:r>
        <w:rPr/>
        <w:t xml:space="preserve">(3) Prior to distributing state funds under subsection (2) of this section, the </w:t>
      </w:r>
      <w:r>
        <w:t>((</w:t>
      </w:r>
      <w:r>
        <w:rPr>
          <w:strike/>
        </w:rPr>
        <w:t xml:space="preserve">office of civil legal aid</w:t>
      </w:r>
      <w:r>
        <w:t>))</w:t>
      </w:r>
      <w:r>
        <w:rPr/>
        <w:t xml:space="preserve"> </w:t>
      </w:r>
      <w:r>
        <w:rPr>
          <w:u w:val="single"/>
        </w:rPr>
        <w:t xml:space="preserve">statewide children's legal representation program</w:t>
      </w:r>
      <w:r>
        <w:rPr/>
        <w:t xml:space="preserve"> must verify that attorneys providing legal representation to children under </w:t>
      </w:r>
      <w:r>
        <w:t>((</w:t>
      </w:r>
      <w:r>
        <w:rPr>
          <w:strike/>
        </w:rPr>
        <w:t xml:space="preserve">RCW 13.34.100</w:t>
      </w:r>
      <w:r>
        <w:t>))</w:t>
      </w:r>
      <w:r>
        <w:rPr/>
        <w:t xml:space="preserve"> </w:t>
      </w:r>
      <w:r>
        <w:rPr>
          <w:u w:val="single"/>
        </w:rPr>
        <w:t xml:space="preserve">section 6 of this act</w:t>
      </w:r>
      <w:r>
        <w:rPr/>
        <w:t xml:space="preserve"> meet the standards of practice, </w:t>
      </w:r>
      <w:r>
        <w:t>((</w:t>
      </w:r>
      <w:r>
        <w:rPr>
          <w:strike/>
        </w:rPr>
        <w:t xml:space="preserve">voluntary training, and</w:t>
      </w:r>
      <w:r>
        <w:t>))</w:t>
      </w:r>
      <w:r>
        <w:rPr/>
        <w:t xml:space="preserve"> caseload limits </w:t>
      </w:r>
      <w:r>
        <w:t>((</w:t>
      </w:r>
      <w:r>
        <w:rPr>
          <w:strike/>
        </w:rPr>
        <w:t xml:space="preserve">developed and recommended by the statewide children's representation work group pursuant to section 5, chapter 180, Laws of 2010. Caseload limits described in this subsection must be determined as provided in RCW 13.34.100(6)(c)(ii)</w:t>
      </w:r>
      <w:r>
        <w:t>))</w:t>
      </w:r>
      <w:r>
        <w:rPr>
          <w:u w:val="single"/>
        </w:rPr>
        <w:t xml:space="preserve">, and training guidelines adopted by the children's representation work group established in section 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center for court research shall convene stakeholders, including youth and young adults, to identify the relevant outcome measures and data collection methods that appropriately protect attorney-client privilege to effectively assess:</w:t>
      </w:r>
    </w:p>
    <w:p>
      <w:pPr>
        <w:spacing w:before="0" w:after="0" w:line="408" w:lineRule="exact"/>
        <w:ind w:left="0" w:right="0" w:firstLine="576"/>
        <w:jc w:val="left"/>
      </w:pPr>
      <w:r>
        <w:rPr/>
        <w:t xml:space="preserve">(a) The number of youth for whom attorneys are appointed pursuant to section 6(3) of this act; and</w:t>
      </w:r>
    </w:p>
    <w:p>
      <w:pPr>
        <w:spacing w:before="0" w:after="0" w:line="408" w:lineRule="exact"/>
        <w:ind w:left="0" w:right="0" w:firstLine="576"/>
        <w:jc w:val="left"/>
      </w:pPr>
      <w:r>
        <w:rPr/>
        <w:t xml:space="preserve">(b) The short and longitudinal impact of standards-based legal representation on case outcomes including family reunification, number of placement changes, and placement with kin of appointment of standards-based representation disaggregated by race, ethnicity, age, disability status, sexual and gender identity, and geography.</w:t>
      </w:r>
    </w:p>
    <w:p>
      <w:pPr>
        <w:spacing w:before="0" w:after="0" w:line="408" w:lineRule="exact"/>
        <w:ind w:left="0" w:right="0" w:firstLine="576"/>
        <w:jc w:val="left"/>
      </w:pPr>
      <w:r>
        <w:rPr/>
        <w:t xml:space="preserve">(2) By November 30, 2022, and in compliance with RCW 43.01.036, the Washington state center for court research shall submit an annual report to the appropriate committees of the legislature and the governor outlining the outcome measures identified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53</w:t>
      </w:r>
      <w:r>
        <w:rPr/>
        <w:t xml:space="preserve"> RCW</w:t>
      </w:r>
      <w:r>
        <w:rPr/>
        <w:t xml:space="preserve"> to read as follows:</w:t>
      </w:r>
    </w:p>
    <w:p>
      <w:pPr>
        <w:spacing w:before="0" w:after="0" w:line="408" w:lineRule="exact"/>
        <w:ind w:left="0" w:right="0" w:firstLine="576"/>
        <w:jc w:val="left"/>
      </w:pPr>
      <w:r>
        <w:rPr/>
        <w:t xml:space="preserve">(1) The legislature recognizes that substantial changes have occurred that inform the best practices related to representation of children and youth in dependency cases, including new understandings relating to equity, disproportionality, cultural competency, and trauma-informed representation. The legislature further recognizes the role that training, supportive supervision, and competitive compensation structures play in recruiting and retaining a diverse pool of well-qualified attorneys. The legislature further recognizes that standards-based representation continues to be necessary to ensure effective representation of the stated and legal interests of children and youth involved in the child welfare system. </w:t>
      </w:r>
    </w:p>
    <w:p>
      <w:pPr>
        <w:spacing w:before="0" w:after="0" w:line="408" w:lineRule="exact"/>
        <w:ind w:left="0" w:right="0" w:firstLine="576"/>
        <w:jc w:val="left"/>
      </w:pPr>
      <w:r>
        <w:rPr/>
        <w:t xml:space="preserve">(2) The legislature therefore respectfully requests that the supreme court's commission on children in foster care convene a children's representation work group composed of relevant stakeholders, including an independent expert in attorneys' ethical duties, to review and update, where appropriate, the standards of practice, caseload limits, and training guidelines, referenced in RCW 2.53.045 and section 6 of this act. The updated standards shall be developed by December 31, 2021.</w:t>
      </w:r>
    </w:p>
    <w:p>
      <w:pPr>
        <w:spacing w:before="0" w:after="0" w:line="408" w:lineRule="exact"/>
        <w:ind w:left="0" w:right="0" w:firstLine="576"/>
        <w:jc w:val="left"/>
      </w:pPr>
      <w:r>
        <w:rPr/>
        <w:t xml:space="preserve">(3) In addition, the work group is requested to review, in consultation with relevant stakeholders, the available research and best practices regarding representation of the legal interests of children under the age of eight, and submit to the legislature recommendations regarding the appropriate model of representation, including timing of appointment, training and oversight needs, and other considerations. The recommendations shall be reported to the relevant committees of the legislature by December 31, 2021.</w:t>
      </w:r>
    </w:p>
    <w:p>
      <w:pPr>
        <w:spacing w:before="0" w:after="0" w:line="408" w:lineRule="exact"/>
        <w:ind w:left="0" w:right="0" w:firstLine="576"/>
        <w:jc w:val="left"/>
      </w:pPr>
      <w:r>
        <w:rPr/>
        <w:t xml:space="preserve">(4)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2018 c 34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w:t>
      </w:r>
    </w:p>
    <w:p>
      <w:pPr>
        <w:spacing w:before="0" w:after="0" w:line="408" w:lineRule="exact"/>
        <w:ind w:left="0" w:right="0" w:firstLine="576"/>
        <w:jc w:val="left"/>
      </w:pPr>
      <w:r>
        <w:rPr/>
        <w:t xml:space="preserve">(d) Engaged in employment for eighty hours or more per month; or</w:t>
      </w:r>
    </w:p>
    <w:p>
      <w:pPr>
        <w:spacing w:before="0" w:after="0" w:line="408" w:lineRule="exact"/>
        <w:ind w:left="0" w:right="0" w:firstLine="576"/>
        <w:jc w:val="left"/>
      </w:pPr>
      <w:r>
        <w:rPr/>
        <w:t xml:space="preserve">(e) Not able to engage in any of the activities described in (a) through (d) of this subsection due to a documented medical condition.</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and who, at the age of eighteen years, does not meet any of the criteria described in subsection (1)(a) through (e)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w:t>
      </w:r>
      <w:r>
        <w:rPr>
          <w:u w:val="single"/>
        </w:rPr>
        <w:t xml:space="preserve">(a)</w:t>
      </w:r>
      <w:r>
        <w:rPr/>
        <w:t xml:space="preserve"> The court shall appoint counsel to represent a youth, as defined in RCW 13.34.030(2)(b), in dependency proceedings under this section. </w:t>
      </w:r>
      <w:r>
        <w:rPr>
          <w:u w:val="single"/>
        </w:rPr>
        <w:t xml:space="preserve">Subject to amounts appropriated, the state shall pay the costs of legal services provided by an attorney appointed pursuant to this subsection based on the phase-in schedule outlined in section 6 of this act, provided that the legal services are provided in accordance with the rules of professional conduct, the standards of practice, caseload limits, and training guidelines adopted by the children's representation work group established in section 9 of this act.</w:t>
      </w:r>
    </w:p>
    <w:p>
      <w:pPr>
        <w:spacing w:before="0" w:after="0" w:line="408" w:lineRule="exact"/>
        <w:ind w:left="0" w:right="0" w:firstLine="576"/>
        <w:jc w:val="left"/>
      </w:pPr>
      <w:r>
        <w:rPr>
          <w:u w:val="single"/>
        </w:rPr>
        <w:t xml:space="preserve">(b) Continuity of counsel shall be prioritized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continuity of counsel.</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661456ef25c54a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7c5bcd07b74c22" /><Relationship Type="http://schemas.openxmlformats.org/officeDocument/2006/relationships/footer" Target="/word/footer1.xml" Id="R661456ef25c54aa7" /></Relationships>
</file>