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fc30605084215" /></Relationships>
</file>

<file path=word/document.xml><?xml version="1.0" encoding="utf-8"?>
<w:document xmlns:w="http://schemas.openxmlformats.org/wordprocessingml/2006/main">
  <w:body>
    <w:p>
      <w:r>
        <w:t>H-0326.1</w:t>
      </w:r>
    </w:p>
    <w:p>
      <w:pPr>
        <w:jc w:val="center"/>
      </w:pPr>
      <w:r>
        <w:t>_______________________________________________</w:t>
      </w:r>
    </w:p>
    <w:p/>
    <w:p>
      <w:pPr>
        <w:jc w:val="center"/>
      </w:pPr>
      <w:r>
        <w:rPr>
          <w:b/>
        </w:rPr>
        <w:t>HOUSE BILL 1202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Thai, Davis, Bateman, Ramos, Kloba, Callan, Simmons, Berry, Santos, Ryu, Ramel, Sells, Ortiz-Self, Gregerson, Wicks, Berg, Bergquist, Dolan, Macri, Fey, Pollet, Harris-Talley, and Frame</w:t>
      </w:r>
    </w:p>
    <w:p/>
    <w:p>
      <w:r>
        <w:rPr>
          <w:t xml:space="preserve">Read first time 01/14/21.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meaningful civil remedies for persons injured as a result of police misconduct, including by allowing for an award of attorney fees in addition to damages and injunctive and declaratory relief;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entrusted with the power to arrest, detain, and use force against individuals suspected of violating criminal statutes. It is the intent of the legislature to provide a meaningful legal remedy under state law for persons who are injured when a peace officer exercises these powers unlawfully. The legislature finds that the lack of such a remedy jeopardizes justice for the victims, implies impunity for the violators, and engenders a cynicism destructive of self-government. In order to foster the important public policy of accountability for unlawful policing and promote trust between communities and law enforcement, and in view of remedial deficiencies in existing federal law and Washington common law, this chapter establishes a more meaningful remedy through a civil cause of action by which victims of misconduct by peace officers may obtain compensation for their injuries and an award of costs and attorney fees incurred in seeking the remedy. By enacting this chapter the legislature intends to prevent the use of the doctrine of qualified immunity as it has developed in federal litigation of suits under 42 U.S.C. Sec. 1983.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"Person" means a natural person and, if the natural person has died, includes the person's estate and statutory beneficiaries.</w:t>
      </w:r>
    </w:p>
    <w:p>
      <w:pPr>
        <w:spacing w:before="0" w:after="0" w:line="408" w:lineRule="exact"/>
        <w:ind w:left="0" w:right="0" w:firstLine="576"/>
        <w:jc w:val="left"/>
      </w:pPr>
      <w:r>
        <w:rPr/>
        <w:t xml:space="preserve">(2) "Peace officer" means any law enforcement personnel subject to the basic law enforcement training requirement of RCW 43.101.200 and any other requirements of that section, notwithstanding any waiver or exemption granted by the criminal justice training commission, and notwithstanding the statutory exemption based on date of initial hire under RCW 43.101.200. Commissioned officers of the Washington state patrol, whether they have been or may be exempted by rule of the commission from the basic training requirement of RCW 43.101.200, are included as peace officers for purposes of this chapter. Fish and wildlife officers with enforcement powers for all criminal laws under RCW 77.15.075 are peace officers for purposes of this chapter.</w:t>
      </w:r>
    </w:p>
    <w:p>
      <w:pPr>
        <w:spacing w:before="0" w:after="0" w:line="408" w:lineRule="exact"/>
        <w:ind w:left="0" w:right="0" w:firstLine="576"/>
        <w:jc w:val="left"/>
      </w:pPr>
      <w:r>
        <w:rPr/>
        <w:t xml:space="preserve">(3) "Employer" means:</w:t>
      </w:r>
    </w:p>
    <w:p>
      <w:pPr>
        <w:spacing w:before="0" w:after="0" w:line="408" w:lineRule="exact"/>
        <w:ind w:left="0" w:right="0" w:firstLine="576"/>
        <w:jc w:val="left"/>
      </w:pPr>
      <w:r>
        <w:rPr/>
        <w:t xml:space="preserve">(a) The state of Washington and all political subdivisions and agencies thereof that act as a peace officer's principal or supervisor; and</w:t>
      </w:r>
    </w:p>
    <w:p>
      <w:pPr>
        <w:spacing w:before="0" w:after="0" w:line="408" w:lineRule="exact"/>
        <w:ind w:left="0" w:right="0" w:firstLine="576"/>
        <w:jc w:val="left"/>
      </w:pPr>
      <w:r>
        <w:rPr/>
        <w:t xml:space="preserve">(b) Any private entity that, under a contract or agreement with the state or a subdivision of the state, supervises a peace officer or any other person exercising the powers of a peace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injured in person or property by a peace officer acting under color of authority has a cause of action against the peace officer, and against any other peace officer who had the power through reasonable diligence to prevent or aid in preventing the injury from occurring and failed to do so, if the peace officer:</w:t>
      </w:r>
    </w:p>
    <w:p>
      <w:pPr>
        <w:spacing w:before="0" w:after="0" w:line="408" w:lineRule="exact"/>
        <w:ind w:left="0" w:right="0" w:firstLine="576"/>
        <w:jc w:val="left"/>
      </w:pPr>
      <w:r>
        <w:rPr/>
        <w:t xml:space="preserve">(a) Engaged in conduct that under civil law constitutes an assault, battery, outrage, false imprisonment, false arrest, malicious prosecution, trespass, or conversion; or</w:t>
      </w:r>
    </w:p>
    <w:p>
      <w:pPr>
        <w:spacing w:before="0" w:after="0" w:line="408" w:lineRule="exact"/>
        <w:ind w:left="0" w:right="0" w:firstLine="576"/>
        <w:jc w:val="left"/>
      </w:pPr>
      <w:r>
        <w:rPr/>
        <w:t xml:space="preserve">(b) Executed a detention, traffic stop, search, seizure, or entry into a home that is unlawful under the state Constitution; or</w:t>
      </w:r>
    </w:p>
    <w:p>
      <w:pPr>
        <w:spacing w:before="0" w:after="0" w:line="408" w:lineRule="exact"/>
        <w:ind w:left="0" w:right="0" w:firstLine="576"/>
        <w:jc w:val="left"/>
      </w:pPr>
      <w:r>
        <w:rPr/>
        <w:t xml:space="preserve">(c) Engaged in conduct that violated the duty of reasonable care under chapter . . ., Laws of 2021 (House Bill No. . . .); or</w:t>
      </w:r>
    </w:p>
    <w:p>
      <w:pPr>
        <w:spacing w:before="0" w:after="0" w:line="408" w:lineRule="exact"/>
        <w:ind w:left="0" w:right="0" w:firstLine="576"/>
        <w:jc w:val="left"/>
      </w:pPr>
      <w:r>
        <w:rPr/>
        <w:t xml:space="preserve">(d) Violated a provision of RCW 10.93.160.</w:t>
      </w:r>
    </w:p>
    <w:p>
      <w:pPr>
        <w:spacing w:before="0" w:after="0" w:line="408" w:lineRule="exact"/>
        <w:ind w:left="0" w:right="0" w:firstLine="576"/>
        <w:jc w:val="left"/>
      </w:pPr>
      <w:r>
        <w:rPr/>
        <w:t xml:space="preserve">(2) In an action against a peace officer under subsection (1) of this section, the plaintiff may also name the officer's employer as a defendant. The employer is vicariously liable if the unlawful conduct causing the injury was within the scope of the peace officer's employment.</w:t>
      </w:r>
    </w:p>
    <w:p>
      <w:pPr>
        <w:spacing w:before="0" w:after="0" w:line="408" w:lineRule="exact"/>
        <w:ind w:left="0" w:right="0" w:firstLine="576"/>
        <w:jc w:val="left"/>
      </w:pPr>
      <w:r>
        <w:rPr/>
        <w:t xml:space="preserve">(3) A peace officer has a defense against an action brought under subsection (1) of this section if, when the injury occurred, the officer substantially complied with a regulation, practice, procedure, or policy that was established by the employer or approved or condoned by superior officers. If the peace officer proves this defense, the employer is independently liable for the injury if the injury was proximately caused by a regulation, custom, usage, practice, procedure, or policy approved or condoned by the employer.</w:t>
      </w:r>
    </w:p>
    <w:p>
      <w:pPr>
        <w:spacing w:before="0" w:after="0" w:line="408" w:lineRule="exact"/>
        <w:ind w:left="0" w:right="0" w:firstLine="576"/>
        <w:jc w:val="left"/>
      </w:pPr>
      <w:r>
        <w:rPr/>
        <w:t xml:space="preserve">(4) The employer is also independently liable for the injury if a proximate cause of the injury was the employer's failure to use reasonable care in hiring, training, retaining, supervising, or disciplining the peace officer.</w:t>
      </w:r>
    </w:p>
    <w:p>
      <w:pPr>
        <w:spacing w:before="0" w:after="0" w:line="408" w:lineRule="exact"/>
        <w:ind w:left="0" w:right="0" w:firstLine="576"/>
        <w:jc w:val="left"/>
      </w:pPr>
      <w:r>
        <w:rPr/>
        <w:t xml:space="preserve">(5) It is not an immunity or defense to an action brought under this chapter that:</w:t>
      </w:r>
    </w:p>
    <w:p>
      <w:pPr>
        <w:spacing w:before="0" w:after="0" w:line="408" w:lineRule="exact"/>
        <w:ind w:left="0" w:right="0" w:firstLine="576"/>
        <w:jc w:val="left"/>
      </w:pPr>
      <w:r>
        <w:rPr/>
        <w:t xml:space="preserve">(a) The rights, privileges, or immunities sued upon were not clearly established at the time of the act, omission, or decision by the peace officer or employer; or</w:t>
      </w:r>
    </w:p>
    <w:p>
      <w:pPr>
        <w:spacing w:before="0" w:after="0" w:line="408" w:lineRule="exact"/>
        <w:ind w:left="0" w:right="0" w:firstLine="576"/>
        <w:jc w:val="left"/>
      </w:pPr>
      <w:r>
        <w:rPr/>
        <w:t xml:space="preserve">(b) At such time, that the state of the law was such that the peace officer or employer could not reasonably have been expected to know whether such act, omission, or decision was 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 shall award to a prevailing plaintiff actual damages as determined by the trier of fact, and shall make an award of at least nominal damages. The court shall also award to a prevailing plaintiff costs and reasonable attorneys' fees. The court may grant declaratory and injunctive relief as it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investigate employers and peace officers engaging in a pattern or practice of conduct identified in section 3 of this act and bring an action in the name of the state, or as </w:t>
      </w:r>
      <w:r>
        <w:rPr>
          <w:i/>
        </w:rPr>
        <w:t xml:space="preserve">parens patriae</w:t>
      </w:r>
      <w:r>
        <w:rPr/>
        <w:t xml:space="preserve"> on behalf of persons residing in the state, against a peace officer or employer to restrain and prevent the peace officer or employer from engaging in any pattern or practice of conduct identified in section 3 of this act. The prevailing party may, in the discretion of the court, recover the costs of the action including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must be liberally construed so that its beneficial and remedial purposes may be served.</w:t>
      </w:r>
    </w:p>
    <w:p>
      <w:pPr>
        <w:spacing w:before="0" w:after="0" w:line="408" w:lineRule="exact"/>
        <w:ind w:left="0" w:right="0" w:firstLine="576"/>
        <w:jc w:val="left"/>
      </w:pPr>
      <w:r>
        <w:rPr/>
        <w:t xml:space="preserve">(2) Nothing in this chapter affects any other common law or statutory right of action available to the plaintiff.</w:t>
      </w:r>
    </w:p>
    <w:p>
      <w:pPr>
        <w:spacing w:before="0" w:after="0" w:line="408" w:lineRule="exact"/>
        <w:ind w:left="0" w:right="0" w:firstLine="576"/>
        <w:jc w:val="left"/>
      </w:pPr>
      <w:r>
        <w:rPr/>
        <w:t xml:space="preserve">(3) The provisions of chapter 4.22 RCW do not apply to a cause of action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cause of action under section 3 of this act must be commenced within three years after the cause of action accrues.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is intended to limit the right of a peace officer to have a legal defense provided at the expense of his or her public employer or to having any judgment under this chapter satisfied by such employer under chapter 4.92 or 4.96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peace officer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only to causes of action arising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a94e233d98324d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bdcc02bd34edf" /><Relationship Type="http://schemas.openxmlformats.org/officeDocument/2006/relationships/footer" Target="/word/footer1.xml" Id="Ra94e233d98324da7" /></Relationships>
</file>