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c68d0032545f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Duerr, Ramel, Dolan,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2022,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 (b) The department of health must ensure that rules adopted under this subsection take effect by December 31, 2022.</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w:t>
      </w:r>
    </w:p>
    <w:p>
      <w:pPr>
        <w:spacing w:before="0" w:after="0" w:line="408" w:lineRule="exact"/>
        <w:ind w:left="0" w:right="0" w:firstLine="576"/>
        <w:jc w:val="left"/>
      </w:pPr>
      <w:r>
        <w:rPr/>
        <w:t xml:space="preserve">(g) Permitting; and</w:t>
      </w:r>
    </w:p>
    <w:p>
      <w:pPr>
        <w:spacing w:before="0" w:after="0" w:line="408" w:lineRule="exact"/>
        <w:ind w:left="0" w:right="0" w:firstLine="576"/>
        <w:jc w:val="left"/>
      </w:pPr>
      <w:r>
        <w:rPr/>
        <w:t xml:space="preserve">(h) Any conflicts the rules adopted in this section have with the department of ecology's municipal stormwater general permit and guidance manuals on stormwater for eastern and western Washington. Any calculations of the amount of water that a property owner or permit holder must make to address runoff from impervious surfaces must reduce the amount of rainwater considered to be stormwater when it is captured to be used for alternative nonpotable end uses in buildings and projects.</w:t>
      </w:r>
    </w:p>
    <w:p>
      <w:pPr>
        <w:spacing w:before="0" w:after="0" w:line="408" w:lineRule="exact"/>
        <w:ind w:left="0" w:right="0" w:firstLine="576"/>
        <w:jc w:val="left"/>
      </w:pPr>
      <w:r>
        <w:rPr/>
        <w:t xml:space="preserve">(3)(a) An on-site treated nonpotable water system in operation before January 1, 2022, must comply with the rules established pursuant to subsection (1) of this section by January 1, 2024.</w:t>
      </w:r>
    </w:p>
    <w:p>
      <w:pPr>
        <w:spacing w:before="0" w:after="0" w:line="408" w:lineRule="exact"/>
        <w:ind w:left="0" w:right="0" w:firstLine="576"/>
        <w:jc w:val="left"/>
      </w:pPr>
      <w:r>
        <w:rPr/>
        <w:t xml:space="preserve">(b) If a permitting local jurisdiction finds that the permittee is unable to come into compliance with the rules adopted under subsection (1) of this section because the engineering, repair, or replacement of the system is cost prohibitive, the local jurisdiction may grant the permittee a waiver of compliance with the rules.</w:t>
      </w:r>
    </w:p>
    <w:p>
      <w:pPr>
        <w:spacing w:before="0" w:after="0" w:line="408" w:lineRule="exact"/>
        <w:ind w:left="0" w:right="0" w:firstLine="576"/>
        <w:jc w:val="left"/>
      </w:pPr>
      <w:r>
        <w:rPr/>
        <w:t xml:space="preserve">(4) The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NumType w:start="1"/>
      <w:footerReference xmlns:r="http://schemas.openxmlformats.org/officeDocument/2006/relationships" r:id="Rb1416392f57c40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a64a4f5e64759" /><Relationship Type="http://schemas.openxmlformats.org/officeDocument/2006/relationships/footer" Target="/word/footer1.xml" Id="Rb1416392f57c4072" /></Relationships>
</file>