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09362d09a44f03" /></Relationships>
</file>

<file path=word/document.xml><?xml version="1.0" encoding="utf-8"?>
<w:document xmlns:w="http://schemas.openxmlformats.org/wordprocessingml/2006/main">
  <w:body>
    <w:p>
      <w:r>
        <w:t>H-0187.2</w:t>
      </w:r>
    </w:p>
    <w:p>
      <w:pPr>
        <w:jc w:val="center"/>
      </w:pPr>
      <w:r>
        <w:t>_______________________________________________</w:t>
      </w:r>
    </w:p>
    <w:p/>
    <w:p>
      <w:pPr>
        <w:jc w:val="center"/>
      </w:pPr>
      <w:r>
        <w:rPr>
          <w:b/>
        </w:rPr>
        <w:t>HOUSE BILL 1155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Riccelli, Ormsby, and Lekanoff</w:t>
      </w:r>
    </w:p>
    <w:p/>
    <w:p>
      <w:r>
        <w:rPr>
          <w:t xml:space="preserve">Read first time 01/12/21.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emergency communication systems and facilities; and amending RCW 82.14.420.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420</w:t>
      </w:r>
      <w:r>
        <w:rPr/>
        <w:t xml:space="preserve"> and 2019 c 281 s 1 are each amended to read as follows:</w:t>
      </w:r>
    </w:p>
    <w:p>
      <w:pPr>
        <w:spacing w:before="0" w:after="0" w:line="408" w:lineRule="exact"/>
        <w:ind w:left="0" w:right="0" w:firstLine="576"/>
        <w:jc w:val="left"/>
      </w:pPr>
      <w:r>
        <w:rPr/>
        <w:t xml:space="preserve">(1) A county legislative authority may submit an authorizing proposition to the county voters, and if the proposition is approved by a majority of persons voting, fix and impose a sales and use tax in accordance with the terms of this chapter for the purposes designated in subsection (3) of this section.</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rate of tax may not exceed two-tenths of one percent of the selling price in the case of sales tax, or value of the article used, in the case of a use tax.</w:t>
      </w:r>
    </w:p>
    <w:p>
      <w:pPr>
        <w:spacing w:before="0" w:after="0" w:line="408" w:lineRule="exact"/>
        <w:ind w:left="0" w:right="0" w:firstLine="576"/>
        <w:jc w:val="left"/>
      </w:pPr>
      <w:r>
        <w:rPr/>
        <w:t xml:space="preserve">(3) Moneys received from any tax imposed under this section must be used solely for the purpose of providing funds for costs associated with financing, design, acquisition, construction, equipping, operating, maintaining, remodeling, repairing, reequipping, and improvement of emergency communication systems and facilities.</w:t>
      </w:r>
    </w:p>
    <w:p>
      <w:pPr>
        <w:spacing w:before="0" w:after="0" w:line="408" w:lineRule="exact"/>
        <w:ind w:left="0" w:right="0" w:firstLine="576"/>
        <w:jc w:val="left"/>
      </w:pPr>
      <w:r>
        <w:rPr/>
        <w:t xml:space="preserve">(4) Counties are authorized to develop joint ventures to collocate emergency communication systems and facilities.</w:t>
      </w:r>
    </w:p>
    <w:p>
      <w:pPr>
        <w:spacing w:before="0" w:after="0" w:line="408" w:lineRule="exact"/>
        <w:ind w:left="0" w:right="0" w:firstLine="576"/>
        <w:jc w:val="left"/>
      </w:pPr>
      <w:r>
        <w:rPr/>
        <w:t xml:space="preserve">(5) Prior to submitting the tax authorization in subsection (2) of this section to the voters in a county that provides emergency communication services to a governmental agency pursuant to a contract, the parties to the contract must review and negotiate or affirm the terms of the contract.</w:t>
      </w:r>
    </w:p>
    <w:p>
      <w:pPr>
        <w:spacing w:before="0" w:after="0" w:line="408" w:lineRule="exact"/>
        <w:ind w:left="0" w:right="0" w:firstLine="576"/>
        <w:jc w:val="left"/>
      </w:pPr>
      <w:r>
        <w:rPr/>
        <w:t xml:space="preserve">(6) Prior to submitting the tax authorized in subsection (2) of this section to the voters, a county with a population of more than one million five hundred thousand in which any city over fifty thousand operates emergency communication systems and facilities either independently or as a member of a regional emergency communication agency must enter into an interlocal agreement with the city to determine distribution of the revenue provided in this section.</w:t>
      </w:r>
    </w:p>
    <w:p>
      <w:pPr>
        <w:spacing w:before="0" w:after="0" w:line="408" w:lineRule="exact"/>
        <w:ind w:left="0" w:right="0" w:firstLine="576"/>
        <w:jc w:val="left"/>
      </w:pPr>
      <w:r>
        <w:rPr/>
        <w:t xml:space="preserve">(7)</w:t>
      </w:r>
      <w:r>
        <w:rPr>
          <w:u w:val="single"/>
        </w:rPr>
        <w:t xml:space="preserve">(a)</w:t>
      </w:r>
      <w:r>
        <w:rPr/>
        <w:t xml:space="preserve"> Prior to submitting the tax authorized in subsection (2) of this section to the voters, a county with a population of more than five hundred thousand but less than one million five hundred thousand in which any city over fifty thousand operates emergency communication systems and facilities must enter into an interlocal agreement with the city to determine distribution of the revenue provided in this section.</w:t>
      </w:r>
    </w:p>
    <w:p>
      <w:pPr>
        <w:spacing w:before="0" w:after="0" w:line="408" w:lineRule="exact"/>
        <w:ind w:left="0" w:right="0" w:firstLine="576"/>
        <w:jc w:val="left"/>
      </w:pPr>
      <w:r>
        <w:rPr>
          <w:u w:val="single"/>
        </w:rPr>
        <w:t xml:space="preserve">(b) If, at any time after the approval and imposition of the tax authorized under this section, any noncharter county with a population of 500,000 or more and any city therein meet the population thresholds identified in (a) of this subsection (7), the county must enter into an interlocal agreement with the city to determine distribution of the revenue provided in this section. </w:t>
      </w:r>
    </w:p>
    <w:p>
      <w:pPr>
        <w:spacing w:before="0" w:after="0" w:line="408" w:lineRule="exact"/>
        <w:ind w:left="0" w:right="0" w:firstLine="576"/>
        <w:jc w:val="left"/>
      </w:pPr>
      <w:r>
        <w:rPr>
          <w:u w:val="single"/>
        </w:rPr>
        <w:t xml:space="preserve">(c) A city may notify the legislative authority of the county in which it resides that the city believes that the population thresholds identified in (a) of this subsection (7) have been reached and may request that the county enter into an interlocal agreement as provided in (b) of this subsection (7). If the city and the county fail to enter into an interlocal agreement within 90 days of the city's request, then the city or county may seek equitable apportionment of the tax authorized under this section in the county's superior court. If the city and the county fail to enter into an interlocal agreement within six months of the city's request, then any tax collected under this section within the city must be returned to the city, and any apportionment that the city received under this section in excess of what was collected in the city must be returned to the county. In no circumstances may an agreement be entered into, or an apportionment made, that impairs any existing bond or contract secured by the revenue provided in this section.</w:t>
      </w:r>
    </w:p>
    <w:p>
      <w:pPr>
        <w:spacing w:before="0" w:after="0" w:line="408" w:lineRule="exact"/>
        <w:ind w:left="0" w:right="0" w:firstLine="576"/>
        <w:jc w:val="left"/>
      </w:pPr>
      <w:r>
        <w:rPr/>
        <w:t xml:space="preserve">(8) A county imposing the tax authorized under this section on July 28, 2019, must submit an authorizing proposition to the voters as provided under this section to increase the rate of tax.</w:t>
      </w:r>
    </w:p>
    <w:p>
      <w:pPr>
        <w:spacing w:before="0" w:after="0" w:line="408" w:lineRule="exact"/>
        <w:ind w:left="0" w:right="0" w:firstLine="576"/>
        <w:jc w:val="left"/>
      </w:pPr>
      <w:r>
        <w:rPr/>
        <w:t xml:space="preserve">(9) The Washington state patrol must enter into an intergovernmental agreement, with a county, city, or regional communications agency that operates emergency communications systems, for purposes of interoperable communications, if the following conditions are met:</w:t>
      </w:r>
    </w:p>
    <w:p>
      <w:pPr>
        <w:spacing w:before="0" w:after="0" w:line="408" w:lineRule="exact"/>
        <w:ind w:left="0" w:right="0" w:firstLine="576"/>
        <w:jc w:val="left"/>
      </w:pPr>
      <w:r>
        <w:rPr/>
        <w:t xml:space="preserve">(a) The intergovernmental agreement is requested by the county, city, or regional communications agency for this purpose; and</w:t>
      </w:r>
    </w:p>
    <w:p>
      <w:pPr>
        <w:spacing w:before="0" w:after="0" w:line="408" w:lineRule="exact"/>
        <w:ind w:left="0" w:right="0" w:firstLine="576"/>
        <w:jc w:val="left"/>
      </w:pPr>
      <w:r>
        <w:rPr/>
        <w:t xml:space="preserve">(b) The terms and conditions are mutually agreeable.</w:t>
      </w:r>
    </w:p>
    <w:p/>
    <w:p>
      <w:pPr>
        <w:jc w:val="center"/>
      </w:pPr>
      <w:r>
        <w:rPr>
          <w:b/>
        </w:rPr>
        <w:t>--- END ---</w:t>
      </w:r>
    </w:p>
    <w:sectPr>
      <w:pgNumType w:start="1"/>
      <w:footerReference xmlns:r="http://schemas.openxmlformats.org/officeDocument/2006/relationships" r:id="R19cd1c853c964e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466fa06ee94563" /><Relationship Type="http://schemas.openxmlformats.org/officeDocument/2006/relationships/footer" Target="/word/footer1.xml" Id="R19cd1c853c964e5c" /></Relationships>
</file>