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8e245b629048bb" /></Relationships>
</file>

<file path=word/document.xml><?xml version="1.0" encoding="utf-8"?>
<w:document xmlns:w="http://schemas.openxmlformats.org/wordprocessingml/2006/main">
  <w:body>
    <w:p>
      <w:r>
        <w:t>H-1017.3</w:t>
      </w:r>
    </w:p>
    <w:p>
      <w:pPr>
        <w:jc w:val="center"/>
      </w:pPr>
      <w:r>
        <w:t>_______________________________________________</w:t>
      </w:r>
    </w:p>
    <w:p/>
    <w:p>
      <w:pPr>
        <w:jc w:val="center"/>
      </w:pPr>
      <w:r>
        <w:rPr>
          <w:b/>
        </w:rPr>
        <w:t>SECOND SUBSTITUTE HOUSE BILL 1117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Lekanoff, Fitzgibbon, Bateman, Simmons, Ramel, Peterson, Goodman, Ryu, Kloba, Chopp, Pollet, Macri, and Davis)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salmon recovery through revisions to the state's comprehensive planning framework; amending RCW 36.70A.030, 36.70A.020, 36.70A.060, and 90.74.020; reenacting and amending RCW 36.70A.070; adding new sections to chapter 36.70A RCW; adding a new section to chapter 90.58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Salmon and other anadromous fish have a special historical, economic, and cultural importance to Washington;</w:t>
      </w:r>
    </w:p>
    <w:p>
      <w:pPr>
        <w:spacing w:before="0" w:after="0" w:line="408" w:lineRule="exact"/>
        <w:ind w:left="0" w:right="0" w:firstLine="576"/>
        <w:jc w:val="left"/>
      </w:pPr>
      <w:r>
        <w:rPr/>
        <w:t xml:space="preserve">(b) As a consequence of their centrality to treaty-protected rights reserved to Indian tribes, and the efforts required to be undertaken in order to preserve those rights and recover threatened and endangered species, the preservation and recovery of salmonid populations is a uniquely important legislative priority;</w:t>
      </w:r>
    </w:p>
    <w:p>
      <w:pPr>
        <w:spacing w:before="0" w:after="0" w:line="408" w:lineRule="exact"/>
        <w:ind w:left="0" w:right="0" w:firstLine="576"/>
        <w:jc w:val="left"/>
      </w:pPr>
      <w:r>
        <w:rPr/>
        <w:t xml:space="preserve">(c) Nontribal commercial and recreational fishing and salmon viewing contribute significantly to the economic and social stability and well-being of Washington residents; and</w:t>
      </w:r>
    </w:p>
    <w:p>
      <w:pPr>
        <w:spacing w:before="0" w:after="0" w:line="408" w:lineRule="exact"/>
        <w:ind w:left="0" w:right="0" w:firstLine="576"/>
        <w:jc w:val="left"/>
      </w:pPr>
      <w:r>
        <w:rPr/>
        <w:t xml:space="preserve">(d) Ensuring that future development, redevelopment, and population growth are compatible with the long-term survival and recovery of anadromous fish species is essential to Washington's continued vibrancy and quality of life.</w:t>
      </w:r>
    </w:p>
    <w:p>
      <w:pPr>
        <w:spacing w:before="0" w:after="0" w:line="408" w:lineRule="exact"/>
        <w:ind w:left="0" w:right="0" w:firstLine="576"/>
        <w:jc w:val="left"/>
      </w:pPr>
      <w:r>
        <w:rPr/>
        <w:t xml:space="preserve">(2) Therefore, it is the intent of the legislature to support the protection of salmon through:</w:t>
      </w:r>
    </w:p>
    <w:p>
      <w:pPr>
        <w:spacing w:before="0" w:after="0" w:line="408" w:lineRule="exact"/>
        <w:ind w:left="0" w:right="0" w:firstLine="576"/>
        <w:jc w:val="left"/>
      </w:pPr>
      <w:r>
        <w:rPr/>
        <w:t xml:space="preserve">(a) The adoption and state support of net ecological gain at the WRIA scale and incorporation of applicable elements of the local salmon recovery plan through local government growth and shoreline planning efforts;</w:t>
      </w:r>
    </w:p>
    <w:p>
      <w:pPr>
        <w:spacing w:before="0" w:after="0" w:line="408" w:lineRule="exact"/>
        <w:ind w:left="0" w:right="0" w:firstLine="576"/>
        <w:jc w:val="left"/>
      </w:pPr>
      <w:r>
        <w:rPr/>
        <w:t xml:space="preserve">(b) Ensuring that proportional compensatory mitigation for direct and indirect impacts that are predicted to occur over the expected life of the project to wetlands, water, and fish and wildlife habitat conservation areas and other elements of the environment that affect salmon habitat achieves its desired outcomes; and</w:t>
      </w:r>
    </w:p>
    <w:p>
      <w:pPr>
        <w:spacing w:before="0" w:after="0" w:line="408" w:lineRule="exact"/>
        <w:ind w:left="0" w:right="0" w:firstLine="576"/>
        <w:jc w:val="left"/>
      </w:pPr>
      <w:r>
        <w:rPr/>
        <w:t xml:space="preserve">(c) Providing local governments the full resources needed in the form of funding and technical support to achieve the goals and requirements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2020 c 173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w:t>
      </w:r>
      <w:r>
        <w:rPr>
          <w:u w:val="single"/>
        </w:rPr>
        <w:t xml:space="preserve">"Compensatory mitigation ratio" means a measurement of the size, temporal duration, or quality of mitigation required by a permitting agency in order to ensure that impacts to regulated aspects of the environment from an activity subject to a permit are fully mitigated over the life of the activity or project subject to the permit.</w:t>
      </w:r>
    </w:p>
    <w:p>
      <w:pPr>
        <w:spacing w:before="0" w:after="0" w:line="408" w:lineRule="exact"/>
        <w:ind w:left="0" w:right="0" w:firstLine="576"/>
        <w:jc w:val="left"/>
      </w:pPr>
      <w:r>
        <w:rPr>
          <w:u w:val="single"/>
        </w:rPr>
        <w:t xml:space="preserve">(6)</w:t>
      </w:r>
      <w:r>
        <w:rPr/>
        <w:t xml:space="preserve">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"Minerals" include gravel, sand, and valuable metallic substances.</w:t>
      </w:r>
    </w:p>
    <w:p>
      <w:pPr>
        <w:spacing w:before="0" w:after="0" w:line="408" w:lineRule="exact"/>
        <w:ind w:left="0" w:right="0" w:firstLine="576"/>
        <w:jc w:val="left"/>
      </w:pPr>
      <w:r>
        <w:t>((</w:t>
      </w:r>
      <w:r>
        <w:rPr>
          <w:strike/>
        </w:rPr>
        <w:t xml:space="preserve">(16)</w:t>
      </w:r>
      <w:r>
        <w:t>))</w:t>
      </w:r>
      <w:r>
        <w:rPr/>
        <w:t xml:space="preserve"> </w:t>
      </w:r>
      <w:r>
        <w:rPr>
          <w:u w:val="single"/>
        </w:rPr>
        <w:t xml:space="preserve">(17) "Mitigation hierarchy requirement" means that a proponent must first attempt to avoid impacts where avoidance is reasonably attainable, must then attempt to minimize impacts where avoidance is not reasonably attainable, and use compensatory mitigation where avoidance and minimization are not reasonably attainable.</w:t>
      </w:r>
    </w:p>
    <w:p>
      <w:pPr>
        <w:spacing w:before="0" w:after="0" w:line="408" w:lineRule="exact"/>
        <w:ind w:left="0" w:right="0" w:firstLine="576"/>
        <w:jc w:val="left"/>
      </w:pPr>
      <w:r>
        <w:rPr>
          <w:u w:val="single"/>
        </w:rPr>
        <w:t xml:space="preserve">(18) "Net ecological gain" means a standard for a comprehensive plan adopted under this chapter in which the ecological integrity within each WRIA or independent natural drainage that flows directly into marine waters of the planning area is improved and enhanced during the planning period as a result of the measures adopted by the planning body, and other activities that occur within the planning jurisdiction including, but not limited to, activities identified in the applicable salmon recovery plan, including no net loss of ecological function with respect to the permitting of individual projects in order to advance salmon recovery and other environmental benefits. The advancement of ecological function and advancement of net ecological gain within each WRIA or independent natural drainage that flows directly into marine waters will occur through the appropriate selection and implementation of publicly funded projects, including voluntary grant programs, salmon recovery projects, ecological improvements made through the municipal stormwater permit process, and investments made as a result of the capital facilities element and transportation element of the comprehensive plan.</w:t>
      </w:r>
    </w:p>
    <w:p>
      <w:pPr>
        <w:spacing w:before="0" w:after="0" w:line="408" w:lineRule="exact"/>
        <w:ind w:left="0" w:right="0" w:firstLine="576"/>
        <w:jc w:val="left"/>
      </w:pPr>
      <w:r>
        <w:rPr>
          <w:u w:val="single"/>
        </w:rPr>
        <w:t xml:space="preserve">(19)</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(19)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strike/>
        </w:rPr>
        <w:t xml:space="preserve">(20)</w:t>
      </w:r>
      <w:r>
        <w:t>))</w:t>
      </w:r>
      <w:r>
        <w:rPr/>
        <w:t xml:space="preserve"> </w:t>
      </w:r>
      <w:r>
        <w:rPr>
          <w:u w:val="single"/>
        </w:rPr>
        <w:t xml:space="preserve">(22)</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w:t>
      </w:r>
      <w:r>
        <w:t>((</w:t>
      </w:r>
      <w:r>
        <w:rPr>
          <w:strike/>
        </w:rPr>
        <w:t xml:space="preserve">and</w:t>
      </w:r>
      <w:r>
        <w:t>))</w:t>
      </w:r>
      <w:r>
        <w:rPr>
          <w:u w:val="single"/>
        </w:rPr>
        <w:t xml:space="preserve">,</w:t>
      </w:r>
      <w:r>
        <w:rPr/>
        <w:t xml:space="preserve"> for fish and wildlife habitat</w:t>
      </w:r>
      <w:r>
        <w:rPr>
          <w:u w:val="single"/>
        </w:rPr>
        <w:t xml:space="preserve">, and with the advancement of net ecological gain</w:t>
      </w:r>
      <w:r>
        <w:rPr/>
        <w:t xml:space="preserve">;</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w:t>
      </w:r>
      <w:r>
        <w:rPr>
          <w:u w:val="single"/>
        </w:rPr>
        <w:t xml:space="preserve">and restoration</w:t>
      </w:r>
      <w:r>
        <w:rPr/>
        <w:t xml:space="preserve"> of natural surface water flows and groundwater and surface water recharge and discharge areas.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(28)</w:t>
      </w:r>
      <w:r>
        <w:t>))</w:t>
      </w:r>
      <w:r>
        <w:rPr/>
        <w:t xml:space="preserve"> </w:t>
      </w:r>
      <w:r>
        <w:rPr>
          <w:u w:val="single"/>
        </w:rPr>
        <w:t xml:space="preserve">(30) "Watershed" means a water resource inventory area or "WRIA" established consistent with chapter 90.82 RCW, subbasin watershed therein, or an independent natural drainage that flows directly into marine waters.</w:t>
      </w:r>
    </w:p>
    <w:p>
      <w:pPr>
        <w:spacing w:before="0" w:after="0" w:line="408" w:lineRule="exact"/>
        <w:ind w:left="0" w:right="0" w:firstLine="576"/>
        <w:jc w:val="left"/>
      </w:pPr>
      <w:r>
        <w:rPr>
          <w:u w:val="single"/>
        </w:rPr>
        <w:t xml:space="preserve">(31)</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Encourage the availability of affordable housing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w:t>
      </w:r>
      <w:r>
        <w:t>((</w:t>
      </w:r>
      <w:r>
        <w:rPr>
          <w:strike/>
        </w:rPr>
        <w:t xml:space="preserve">,</w:t>
      </w:r>
      <w:r>
        <w:t>))</w:t>
      </w:r>
      <w:r>
        <w:rPr>
          <w:u w:val="single"/>
        </w:rPr>
        <w:t xml:space="preserve">;</w:t>
      </w:r>
      <w:r>
        <w:rPr/>
        <w:t xml:space="preserve"> enhance recreational opportunities</w:t>
      </w:r>
      <w:r>
        <w:t>((</w:t>
      </w:r>
      <w:r>
        <w:rPr>
          <w:strike/>
        </w:rPr>
        <w:t xml:space="preserve">,</w:t>
      </w:r>
      <w:r>
        <w:t>))</w:t>
      </w:r>
      <w:r>
        <w:rPr>
          <w:u w:val="single"/>
        </w:rPr>
        <w:t xml:space="preserve">;</w:t>
      </w:r>
      <w:r>
        <w:rPr/>
        <w:t xml:space="preserve"> conserve</w:t>
      </w:r>
      <w:r>
        <w:rPr>
          <w:u w:val="single"/>
        </w:rPr>
        <w:t xml:space="preserve">, protect, restore, and contribute to net ecological gain with respect to</w:t>
      </w:r>
      <w:r>
        <w:rPr/>
        <w:t xml:space="preserve"> fish and wildlife habitat</w:t>
      </w:r>
      <w:r>
        <w:t>((</w:t>
      </w:r>
      <w:r>
        <w:rPr>
          <w:strike/>
        </w:rPr>
        <w:t xml:space="preserve">,</w:t>
      </w:r>
      <w:r>
        <w:t>))</w:t>
      </w:r>
      <w:r>
        <w:rPr/>
        <w:t xml:space="preserve"> </w:t>
      </w:r>
      <w:r>
        <w:rPr>
          <w:u w:val="single"/>
        </w:rPr>
        <w:t xml:space="preserve">in accordance with rules adopted pursuant to this act;</w:t>
      </w:r>
      <w:r>
        <w:rPr/>
        <w:t xml:space="preserve"> increase access to natural resource lands and water</w:t>
      </w:r>
      <w:r>
        <w:t>((</w:t>
      </w:r>
      <w:r>
        <w:rPr>
          <w:strike/>
        </w:rPr>
        <w:t xml:space="preserve">,</w:t>
      </w:r>
      <w:r>
        <w:t>))</w:t>
      </w:r>
      <w:r>
        <w:rPr>
          <w:u w:val="single"/>
        </w:rPr>
        <w:t xml:space="preserve">;</w:t>
      </w:r>
      <w:r>
        <w:rPr/>
        <w:t xml:space="preserve"> and develop parks and recreation facilities.</w:t>
      </w:r>
    </w:p>
    <w:p>
      <w:pPr>
        <w:spacing w:before="0" w:after="0" w:line="408" w:lineRule="exact"/>
        <w:ind w:left="0" w:right="0" w:firstLine="576"/>
        <w:jc w:val="left"/>
      </w:pPr>
      <w:r>
        <w:rPr/>
        <w:t xml:space="preserve">(10) Environment. Protect</w:t>
      </w:r>
      <w:r>
        <w:rPr>
          <w:u w:val="single"/>
        </w:rPr>
        <w:t xml:space="preserve">, restore, and contribute to net ecological gain to</w:t>
      </w:r>
      <w:r>
        <w:rPr/>
        <w:t xml:space="preserve"> the environment </w:t>
      </w:r>
      <w:r>
        <w:rPr>
          <w:u w:val="single"/>
        </w:rPr>
        <w:t xml:space="preserve">in accordance with rules adopted pursuant to this act</w:t>
      </w:r>
      <w:r>
        <w:rPr/>
        <w:t xml:space="preserve"> and enhance the state's high quality of life, including air and water quality, </w:t>
      </w:r>
      <w:r>
        <w:t>((</w:t>
      </w:r>
      <w:r>
        <w:rPr>
          <w:strike/>
        </w:rPr>
        <w:t xml:space="preserve">and</w:t>
      </w:r>
      <w:r>
        <w:t>))</w:t>
      </w:r>
      <w:r>
        <w:rPr/>
        <w:t xml:space="preserve"> the availability of water</w:t>
      </w:r>
      <w:r>
        <w:rPr>
          <w:u w:val="single"/>
        </w:rPr>
        <w:t xml:space="preserve">, and fish and wildlife habitat</w:t>
      </w:r>
      <w:r>
        <w:rPr/>
        <w:t xml:space="preserve">.</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Salmon recovery. Support the recovery and enhancement of salmon and steelhead stocks through the advancement of net ecological gain from planning under this chapter in accordance with rules adopted pursuant to this act in order to fulfill Washington's tribal treaty obligations, support nontribal commercial and recreational fisheries, and achieve the delisting and recovery of threatened or endangered salmon and steelhead runs under the federal endangered species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w:t>
      </w:r>
      <w:r>
        <w:rPr>
          <w:u w:val="single"/>
        </w:rPr>
        <w:t xml:space="preserve">(a)</w:t>
      </w:r>
      <w:r>
        <w:rPr/>
        <w:t xml:space="preserve">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u w:val="single"/>
        </w:rPr>
        <w:t xml:space="preserve">(b) Beginning with plan updates adopted after January 1, 2024, the land use element must, in accordance with rules adopted pursuant to this act, include a strategy that, through a combination of regulatory and nonregulatory programs, achieves net ecological gain of in-water and upland habitats that contribute to anadromous fish habitat on a watershed basis, including applicable elements of salmon recovery plans adopted pursuant to either the federal endangered species act or chapter 77.85 RCW, such as vegetation, water quantity, water quality, and other natural features. This strategy must be developed after providing notice and an opportunity to consult to each federally recognized Indian tribe with property, tribal reservation land, or usual and accustomed fishing areas in, adjacent to, or directly affected by the planning jurisdiction. The advancement of net ecological gain may rely on activities or mitigation carried out by a county or city that are physically located outside the county or city if the activities or mitigation are still within the same watershed. Development regulations adopted pursuant to this section may not require individual private projects to contribute to net ecological gain. Development regulations adopted pursuant to this section must require that projects owned by public entities including, but not limited to, state agencies, counties, cities, towns, public utilities districts, schools, libraries, and transportation agencies, contribute to net ecological gain. In the course of complying with development regulations adopted pursuant to this subsection, projects owned by public entities may not rely on existing salmon recovery projects funded and implemented by other entities as a means of achieving net ecological gain.</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w:t>
      </w:r>
      <w:r>
        <w:rPr>
          <w:u w:val="single"/>
        </w:rPr>
        <w:t xml:space="preserve">that includes a schedule for the elimination of all identified fish passage barriers, consistent with the prioritization schedule identified by the fish passage barrier removal board established pursuant to RCW 77.95.160, but not otherwise included in the transportation and open space elements</w:t>
      </w:r>
      <w:r>
        <w:rPr/>
        <w:t xml:space="preserve">;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 </w:t>
      </w:r>
      <w:r>
        <w:rPr>
          <w:u w:val="single"/>
        </w:rPr>
        <w:t xml:space="preserve">For the purposes of the requirement in this subsection to include a schedule for the elimination of all identified fish passage barriers, "capital facilities" do not include any facility covered by a hydropower license issued by the federal energy regulatory commission or included in a habitat conservation plan approved under the federal endangered species act.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(22)</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(22)</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w:t>
      </w:r>
      <w:r>
        <w:rPr>
          <w:u w:val="single"/>
        </w:rPr>
        <w:t xml:space="preserve">System needs must include a schedule for the elimination of all identified fish passage barriers, consistent with the prioritization schedule identified by the fish passage barrier removal board established pursuant to RCW 77.95.160, identified on the local transportation system.</w:t>
      </w:r>
      <w:r>
        <w:rPr/>
        <w:t xml:space="preserve"> Identified needs on state-owned transportation facilities must be consistent with the statewide multimodal transportation plan required under chapter 47.06 RCW</w:t>
      </w:r>
      <w:r>
        <w:rPr>
          <w:u w:val="single"/>
        </w:rPr>
        <w:t xml:space="preserve">. For the purposes of the requirement in this subsection to include a schedule for the elimination of all identified fish passage barriers, "system needs" may not be construed so as to include any facility covered by a hydropower license issued by the federal energy regulatory commission or included in a habitat conservation plan approved under the federal endangered species act</w:t>
      </w:r>
      <w:r>
        <w:rPr/>
        <w:t xml:space="preserve">;</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department of fish and wildlife, with recommendations from the Washington state academy of sciences, shall adopt rules that establish criteria for net ecological gain and consistency with the applicable regional salmon recovery plans that counties and cities planning under RCW 36.70A.040 must meet through adoption of their comprehensive plans in order to support salmon recovery. In adopting rules pursuant to this section, the department of fish and wildlife must consult on an early and continuous basis with each federally recognized Indian tribe with property, tribal reservation land, or usual and accustomed fishing areas in, adjacent to, or directly affected by the planning jurisdiction. The department must also communicate with governments planning under RCW 36.70A.040 during the process of adopting rules pursuant to this section.</w:t>
      </w:r>
    </w:p>
    <w:p>
      <w:pPr>
        <w:spacing w:before="0" w:after="0" w:line="408" w:lineRule="exact"/>
        <w:ind w:left="0" w:right="0" w:firstLine="576"/>
        <w:jc w:val="left"/>
      </w:pPr>
      <w:r>
        <w:rPr/>
        <w:t xml:space="preserve">(2) The rules adopted under this section must address the applicable components of salmon recovery plans that local governments have authority over, such as the habitat restoration and protection elements of the recovery plans.</w:t>
      </w:r>
    </w:p>
    <w:p>
      <w:pPr>
        <w:spacing w:before="0" w:after="0" w:line="408" w:lineRule="exact"/>
        <w:ind w:left="0" w:right="0" w:firstLine="576"/>
        <w:jc w:val="left"/>
      </w:pPr>
      <w:r>
        <w:rPr/>
        <w:t xml:space="preserve">(3) The rules adopted under this section must ensure that, where appropriate, the interjurisdictional coordination process required by RCW 36.70A.100 addresses the issue of salmon recovery.</w:t>
      </w:r>
    </w:p>
    <w:p>
      <w:pPr>
        <w:spacing w:before="0" w:after="0" w:line="408" w:lineRule="exact"/>
        <w:ind w:left="0" w:right="0" w:firstLine="576"/>
        <w:jc w:val="left"/>
      </w:pPr>
      <w:r>
        <w:rPr/>
        <w:t xml:space="preserve">(4) The rules adopted under this section must not require or assume that the proponents of individual private projects will be responsible for achieving net ecological gain. Rules adopted under this section must ensure that individual private projects achieve no net loss of ecological function. Rules adopted under this section must ensure that net ecological gain is advanced through the appropriate selection of publicly funded projects, and voluntary projects whose purpose is salmon recovery but which may receive funding from either public or private sources. Rules adopted under this section related to net ecological gain must account for the impact of the urban heat island effect on ecological function.</w:t>
      </w:r>
    </w:p>
    <w:p>
      <w:pPr>
        <w:spacing w:before="0" w:after="0" w:line="408" w:lineRule="exact"/>
        <w:ind w:left="0" w:right="0" w:firstLine="576"/>
        <w:jc w:val="left"/>
      </w:pPr>
      <w:r>
        <w:rPr/>
        <w:t xml:space="preserve">(5) The department of fish and wildlife shall monitor progress towards the goals set forth in the regional salmon recovery plans. In addition, the department of fish and wildlife shall also monitor and report the progress that each jurisdiction planning under RCW 36.70A.040 has made toward achieving no net loss of ecological function and net ecological gain. As part of this ongoing monitoring effort, the department of fish and wildlife, in early and continuous consultation with each federally recognized Indian tribe with property, tribal reservation land, or usual and accustomed fishing areas in, adjacent to, or directly affected by the planning jurisdiction, and in communication with the affected local governments, shall first establish the current environmental baseline conditions within each county and city planning under RCW 36.70A.040, identify any monitoring data gaps and make recommendations to fill those gaps, and monitor the degree to which each jurisdiction is successful at achieving net ecological gains, and no net losses through individual projects, over time. The department of fish and wildlife is encouraged to work with or seek feedback from the local watershed groups in review of the current environmental baseline conditions and monitoring efforts.</w:t>
      </w:r>
    </w:p>
    <w:p>
      <w:pPr>
        <w:spacing w:before="0" w:after="0" w:line="408" w:lineRule="exact"/>
        <w:ind w:left="0" w:right="0" w:firstLine="576"/>
        <w:jc w:val="left"/>
      </w:pPr>
      <w:r>
        <w:rPr/>
        <w:t xml:space="preserve">(6) The department of fish and wildlife shall facilitate an ongoing and collaborative process for the purpose of identifying gaps and targets related to salmon habitat and funding, to be informed by its monitoring work pursuant to this section.</w:t>
      </w:r>
    </w:p>
    <w:p>
      <w:pPr>
        <w:spacing w:before="0" w:after="0" w:line="408" w:lineRule="exact"/>
        <w:ind w:left="0" w:right="0" w:firstLine="576"/>
        <w:jc w:val="left"/>
      </w:pPr>
      <w:r>
        <w:rPr/>
        <w:t xml:space="preserve">(7) The department of fish and wildlife shall provide a report of its monitoring under this section to the governor, the appropriate committees of the legislature, and the local governments subject to this act, no later than October 15th of every even-numbered year, beginning in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2017 3rd sp.s. c 18 s 3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Any county located to the west of the crest of the Cascade mountains that has both a population of at least four hundred thousand and a border that touches another state,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(e) Any county that borders both the Cascade mountains and another country and has a population of less than fifty thousand people, and any city in such county,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 </w:t>
      </w:r>
      <w:r>
        <w:rPr>
          <w:u w:val="single"/>
        </w:rPr>
        <w:t xml:space="preserve">Regulations that protect critical areas must apply the mitigation hierarchy requirement, as defined in RCW 36.70A.030, by requiring that projects avoid impacts where avoidance is reasonably attainable, minimize impacts where avoidance is not reasonably attainable, and use compensatory mitigation where avoidance and minimization are not reasonably attainable. When using compensatory mitigation, regulations must ensure that measures to mitigate by compensating for the impact by replacing, enhancing, or providing substitute resources or environments result in no net loss of ecological function under a range of compensatory mitigation implementation scenarios, including compensatory mitigation implementation scenarios in which:</w:t>
      </w:r>
    </w:p>
    <w:p>
      <w:pPr>
        <w:spacing w:before="0" w:after="0" w:line="408" w:lineRule="exact"/>
        <w:ind w:left="0" w:right="0" w:firstLine="576"/>
        <w:jc w:val="left"/>
      </w:pPr>
      <w:r>
        <w:rPr>
          <w:u w:val="single"/>
        </w:rPr>
        <w:t xml:space="preserve">(a) The ecological functions and values provided by impacted elements of the environment are superior to the ecological functions and values provided by the mitigation measures; and</w:t>
      </w:r>
    </w:p>
    <w:p>
      <w:pPr>
        <w:spacing w:before="0" w:after="0" w:line="408" w:lineRule="exact"/>
        <w:ind w:left="0" w:right="0" w:firstLine="576"/>
        <w:jc w:val="left"/>
      </w:pPr>
      <w:r>
        <w:rPr>
          <w:u w:val="single"/>
        </w:rPr>
        <w:t xml:space="preserve">(b) Mitigation measures do not function as successfully as designed, intended, or expected.</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74</w:t>
      </w:r>
      <w:r>
        <w:rPr/>
        <w:t xml:space="preserve">.</w:t>
      </w:r>
      <w:r>
        <w:t xml:space="preserve">020</w:t>
      </w:r>
      <w:r>
        <w:rPr/>
        <w:t xml:space="preserve"> and 2012 c 62 s 4 are each amended to read as follows:</w:t>
      </w:r>
    </w:p>
    <w:p>
      <w:pPr>
        <w:spacing w:before="0" w:after="0" w:line="408" w:lineRule="exact"/>
        <w:ind w:left="0" w:right="0" w:firstLine="576"/>
        <w:jc w:val="left"/>
      </w:pPr>
      <w:r>
        <w:rPr/>
        <w:t xml:space="preserve">(1) Project proponents may use a mitigation plan to propose compensatory mitigation within a watershed. A mitigation plan shall:</w:t>
      </w:r>
    </w:p>
    <w:p>
      <w:pPr>
        <w:spacing w:before="0" w:after="0" w:line="408" w:lineRule="exact"/>
        <w:ind w:left="0" w:right="0" w:firstLine="576"/>
        <w:jc w:val="left"/>
      </w:pPr>
      <w:r>
        <w:rPr/>
        <w:t xml:space="preserve">(a) Contain provisions that guarantee the long-term viability of the created, restored, enhanced, or preserved habitat, including assurances for protecting any essential biological functions and values defined in the mitigation plan;</w:t>
      </w:r>
    </w:p>
    <w:p>
      <w:pPr>
        <w:spacing w:before="0" w:after="0" w:line="408" w:lineRule="exact"/>
        <w:ind w:left="0" w:right="0" w:firstLine="576"/>
        <w:jc w:val="left"/>
      </w:pPr>
      <w:r>
        <w:rPr/>
        <w:t xml:space="preserve">(b) Contain provisions for long-term monitoring of any created, restored, or enhanced mitigation site; </w:t>
      </w:r>
      <w:r>
        <w:t>((</w:t>
      </w:r>
      <w:r>
        <w:rPr>
          <w:strike/>
        </w:rPr>
        <w:t xml:space="preserve">and</w:t>
      </w:r>
      <w:r>
        <w:t>))</w:t>
      </w:r>
    </w:p>
    <w:p>
      <w:pPr>
        <w:spacing w:before="0" w:after="0" w:line="408" w:lineRule="exact"/>
        <w:ind w:left="0" w:right="0" w:firstLine="576"/>
        <w:jc w:val="left"/>
      </w:pPr>
      <w:r>
        <w:rPr/>
        <w:t xml:space="preserve">(c) Be consistent with the local comprehensive land use plan and any other applicable planning process in effect for the development area, such as an adopted subbasin or watershed plan</w:t>
      </w:r>
      <w:r>
        <w:rPr>
          <w:u w:val="single"/>
        </w:rPr>
        <w:t xml:space="preserve">; and</w:t>
      </w:r>
    </w:p>
    <w:p>
      <w:pPr>
        <w:spacing w:before="0" w:after="0" w:line="408" w:lineRule="exact"/>
        <w:ind w:left="0" w:right="0" w:firstLine="576"/>
        <w:jc w:val="left"/>
      </w:pPr>
      <w:r>
        <w:rPr>
          <w:u w:val="single"/>
        </w:rPr>
        <w:t xml:space="preserve">(d) Apply the mitigation hierarchy requirement as defined in RCW 36.70A.030 by requiring that projects avoid impacts where avoidance is reasonably attainable, minimize impacts where avoidance is not reasonably attainable, and use compensatory mitigation where avoidance and minimization are not reasonably attainable. When using compensatory mitigation, a mitigation plan must ensure that measures to mitigate by compensating for the impact by replacing, enhancing, or providing substitute resources or environments result in no net loss of ecological function under a range of compensatory mitigation implementation scenarios, including compensatory mitigation implementation scenarios in which:</w:t>
      </w:r>
    </w:p>
    <w:p>
      <w:pPr>
        <w:spacing w:before="0" w:after="0" w:line="408" w:lineRule="exact"/>
        <w:ind w:left="0" w:right="0" w:firstLine="576"/>
        <w:jc w:val="left"/>
      </w:pPr>
      <w:r>
        <w:rPr>
          <w:u w:val="single"/>
        </w:rPr>
        <w:t xml:space="preserve">(i) The ecological functions and values provided by impacted elements of the environment are superior to the ecological functions and values provided by the mitigation measures; and</w:t>
      </w:r>
    </w:p>
    <w:p>
      <w:pPr>
        <w:spacing w:before="0" w:after="0" w:line="408" w:lineRule="exact"/>
        <w:ind w:left="0" w:right="0" w:firstLine="576"/>
        <w:jc w:val="left"/>
      </w:pPr>
      <w:r>
        <w:rPr>
          <w:u w:val="single"/>
        </w:rPr>
        <w:t xml:space="preserve">(ii) Mitigation measures do not function as successfully as designed, intended, or expected</w:t>
      </w:r>
      <w:r>
        <w:rPr/>
        <w:t xml:space="preserve">.</w:t>
      </w:r>
    </w:p>
    <w:p>
      <w:pPr>
        <w:spacing w:before="0" w:after="0" w:line="408" w:lineRule="exact"/>
        <w:ind w:left="0" w:right="0" w:firstLine="576"/>
        <w:jc w:val="left"/>
      </w:pPr>
      <w:r>
        <w:rPr/>
        <w:t xml:space="preserve">(2)(a) The departments of ecology and fish and wildlife may not limit the scope of options in a mitigation plan to areas on or near the project site, or to habitat types of the same type as contained on the project site. The departments of ecology and fish and wildlife shall fully review and give due consideration to compensatory mitigation proposals that improve the overall biological functions and values of the watershed or bay and accommodate the mitigation needs of the infrastructure development or noninfrastructure development, including proposals or portions of proposals that are explored or developed in RCW 90.74.040.</w:t>
      </w:r>
    </w:p>
    <w:p>
      <w:pPr>
        <w:spacing w:before="0" w:after="0" w:line="408" w:lineRule="exact"/>
        <w:ind w:left="0" w:right="0" w:firstLine="576"/>
        <w:jc w:val="left"/>
      </w:pPr>
      <w:r>
        <w:rPr/>
        <w:t xml:space="preserve">(b) The departments of ecology and fish and wildlife are not required to grant approval to a mitigation plan that the departments find does not provide equal or better biological functions and values within the watershed or bay.</w:t>
      </w:r>
    </w:p>
    <w:p>
      <w:pPr>
        <w:spacing w:before="0" w:after="0" w:line="408" w:lineRule="exact"/>
        <w:ind w:left="0" w:right="0" w:firstLine="576"/>
        <w:jc w:val="left"/>
      </w:pPr>
      <w:r>
        <w:rPr/>
        <w:t xml:space="preserve">(3) When making a permit or other regulatory decision under the guidance of this chapter, the departments of ecology and fish and wildlife shall consider whether the mitigation plan provides equal or better biological functions and values, compared to the existing conditions, for the target resources or species identified in the mitigation plan. This consideration shall be based upon the following factors:</w:t>
      </w:r>
    </w:p>
    <w:p>
      <w:pPr>
        <w:spacing w:before="0" w:after="0" w:line="408" w:lineRule="exact"/>
        <w:ind w:left="0" w:right="0" w:firstLine="576"/>
        <w:jc w:val="left"/>
      </w:pPr>
      <w:r>
        <w:rPr/>
        <w:t xml:space="preserve">(a) The relative value of the mitigation for the target resources, in terms of the quality and quantity of biological functions and values provided;</w:t>
      </w:r>
    </w:p>
    <w:p>
      <w:pPr>
        <w:spacing w:before="0" w:after="0" w:line="408" w:lineRule="exact"/>
        <w:ind w:left="0" w:right="0" w:firstLine="576"/>
        <w:jc w:val="left"/>
      </w:pPr>
      <w:r>
        <w:rPr/>
        <w:t xml:space="preserve">(b) The compatibility of the proposal with the intent of broader resource management and habitat management objectives and plans, such as existing resource management plans, watershed plans, critical areas ordinances, the forestry riparian easement program, the riparian open space program, the family forest fish passage program, and shoreline master programs;</w:t>
      </w:r>
    </w:p>
    <w:p>
      <w:pPr>
        <w:spacing w:before="0" w:after="0" w:line="408" w:lineRule="exact"/>
        <w:ind w:left="0" w:right="0" w:firstLine="576"/>
        <w:jc w:val="left"/>
      </w:pPr>
      <w:r>
        <w:rPr/>
        <w:t xml:space="preserve">(c) The ability of the mitigation to address scarce functions or values within a watershed;</w:t>
      </w:r>
    </w:p>
    <w:p>
      <w:pPr>
        <w:spacing w:before="0" w:after="0" w:line="408" w:lineRule="exact"/>
        <w:ind w:left="0" w:right="0" w:firstLine="576"/>
        <w:jc w:val="left"/>
      </w:pPr>
      <w:r>
        <w:rPr/>
        <w:t xml:space="preserve">(d) The benefits of the proposal to broader watershed landscape, including the benefits of connecting various habitat units or providing population-limiting habitats or functions for target species;</w:t>
      </w:r>
    </w:p>
    <w:p>
      <w:pPr>
        <w:spacing w:before="0" w:after="0" w:line="408" w:lineRule="exact"/>
        <w:ind w:left="0" w:right="0" w:firstLine="576"/>
        <w:jc w:val="left"/>
      </w:pPr>
      <w:r>
        <w:rPr/>
        <w:t xml:space="preserve">(e) The benefits of early implementation of habitat mitigation for projects that provide compensatory mitigation in advance of the project's planned impacts; and</w:t>
      </w:r>
    </w:p>
    <w:p>
      <w:pPr>
        <w:spacing w:before="0" w:after="0" w:line="408" w:lineRule="exact"/>
        <w:ind w:left="0" w:right="0" w:firstLine="576"/>
        <w:jc w:val="left"/>
      </w:pPr>
      <w:r>
        <w:rPr/>
        <w:t xml:space="preserve">(f) The significance of any negative impacts to nontarget species or resources.</w:t>
      </w:r>
    </w:p>
    <w:p>
      <w:pPr>
        <w:spacing w:before="0" w:after="0" w:line="408" w:lineRule="exact"/>
        <w:ind w:left="0" w:right="0" w:firstLine="576"/>
        <w:jc w:val="left"/>
      </w:pPr>
      <w:r>
        <w:rPr/>
        <w:t xml:space="preserve">(4) A mitigation plan may be approved through a memorandum of agreement between the project proponent and either the department of ecology or the department of fish and wildlife,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Mitigation imposed under this chapter and consistent with chapter 43.21C RCW must apply the mitigation hierarchy requirement as defined in RCW 36.70A.030 by requiring that projects avoid impacts where avoidance is reasonably attainable, minimize impacts where avoidance is not reasonably attainable, and use compensatory mitigation where avoidance and minimization are not reasonably attainable. When using compensatory mitigation, regulations must ensure that measures to mitigate by compensating for the impact by replacing, enhancing, or providing substitute resources or environments result in no net loss of ecological function under a range of compensatory mitigation implementation scenarios, including compensatory mitigation implementation scenarios in which:</w:t>
      </w:r>
    </w:p>
    <w:p>
      <w:pPr>
        <w:spacing w:before="0" w:after="0" w:line="408" w:lineRule="exact"/>
        <w:ind w:left="0" w:right="0" w:firstLine="576"/>
        <w:jc w:val="left"/>
      </w:pPr>
      <w:r>
        <w:rPr/>
        <w:t xml:space="preserve">(1) The ecological functions and values provided by impacted elements of the environment are superior to the ecological functions and values provided by the mitigation measures; and</w:t>
      </w:r>
    </w:p>
    <w:p>
      <w:pPr>
        <w:spacing w:before="0" w:after="0" w:line="408" w:lineRule="exact"/>
        <w:ind w:left="0" w:right="0" w:firstLine="576"/>
        <w:jc w:val="left"/>
      </w:pPr>
      <w:r>
        <w:rPr/>
        <w:t xml:space="preserve">(2) Mitigation measures do not function as successfully as designed, intended, or expected.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Nothing in this act is intended to reduce mitigation requirements under other applicable state and federal environmental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obligation of local governments to comply with the requirements set forth in sections 3 through 8 of this act is contingent on the appropriation and distribution to local governments of funds for the specific purpose of complying with this act. Local governments may not be required to comply with the requirements set forth in sections 3 through 8 of this act until funds sufficient to cover applicable local government costs are appropriated and distributed by the state at least two years before local governments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243361c36ff3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3f29cb6154437d" /><Relationship Type="http://schemas.openxmlformats.org/officeDocument/2006/relationships/footer" Target="/word/footer1.xml" Id="R243361c36ff34288" /></Relationships>
</file>