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93f0726e64fdf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5919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WAGO</w:t>
        </w:r>
      </w:r>
      <w:r>
        <w:rPr>
          <w:b/>
        </w:rPr>
        <w:t xml:space="preserve"> </w:t>
        <w:r>
          <w:rPr/>
          <w:t xml:space="preserve">S4543.1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5919</w:t>
      </w:r>
      <w:r>
        <w:t xml:space="preserve"> -</w:t>
      </w:r>
      <w:r>
        <w:t xml:space="preserve"> </w:t>
        <w:t xml:space="preserve">S AMD TO S AMD (S-4538.1/22)</w:t>
      </w:r>
      <w:r>
        <w:t xml:space="preserve"> </w:t>
      </w:r>
      <w:r>
        <w:rPr>
          <w:b/>
        </w:rPr>
        <w:t xml:space="preserve">1064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Wagoner</w:t>
      </w:r>
    </w:p>
    <w:p>
      <w:pPr>
        <w:jc w:val="right"/>
      </w:pPr>
      <w:r>
        <w:rPr>
          <w:b/>
        </w:rPr>
        <w:t xml:space="preserve">ADOPTED 02/09/2022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after line 27,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\s 4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is necessary for the immediate preservation of the public peace, health, or safety, or support of the state government and its existing public institutions, and takes effect immediately."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2, after "10.120.020;" strike all material through "section" and insert "creating a new section; and declaring an emergency"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Adds an emergency clause.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dae1aa91f4526" /></Relationships>
</file>