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b04e5fdd145a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5693-S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S4949.1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5693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1207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L.</w:t>
      </w:r>
    </w:p>
    <w:p>
      <w:pPr>
        <w:jc w:val="right"/>
      </w:pPr>
      <w:r>
        <w:rPr>
          <w:b/>
        </w:rPr>
        <w:t xml:space="preserve">NOT ADOPTED 02/25/2022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125, line 17,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(FY 2023) by $64,200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Adjust the total appropriation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135, after line 30,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(30) $64,200 of the general fund</w:t>
      </w:r>
      <w:r>
        <w:rPr>
          <w:rFonts w:ascii="Times New Roman" w:hAnsi="Times New Roman"/>
          <w:u w:val="single"/>
        </w:rPr>
        <w:t xml:space="preserve">—</w:t>
      </w:r>
      <w:r>
        <w:rPr>
          <w:u w:val="single"/>
        </w:rPr>
        <w:t xml:space="preserve">state appropriation for fiscal year 2023 is provided solely for implementation of Senate Bill No. 5324 (eliminating sales/use tax on mobility enhancing equipment). If the bill is not enacted by June 30, 2022, the amount provided in this subsection shall lapse.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funding for implementation of Senate Bill No. 5324 (eliminating sales/use tax on wheelchairs and other types of mobility enhancing equipment).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EXPENDITURE EFFECT (2021-2023):</w:t>
      </w:r>
      <w:r>
        <w:rPr/>
        <w:t xml:space="preserve"> $64,000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State/$64,000 Total Funds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EXPENDITURE EFFECT:</w:t>
      </w:r>
      <w:r>
        <w:rPr/>
        <w:t xml:space="preserve"> $103,000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REVENUE EFFECT (2021-2023):</w:t>
      </w:r>
      <w:r>
        <w:rPr/>
        <w:t xml:space="preserve"> ($9,600,000)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State/($9,615,000) Total Funds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REVENUE EFFECT:</w:t>
      </w:r>
      <w:r>
        <w:rPr/>
        <w:t xml:space="preserve"> $(21,800,000)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707dac8e84106" /></Relationships>
</file>