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6af194224a1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S2978.1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10, after "purposes." insert "The director may not establish personal use amounts for oxycodone."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director of the health care authority to adopt personal use amounts for oxycodone.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1e32438094c11" /></Relationships>
</file>