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9ff4abed24b1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GILD</w:t>
        </w:r>
      </w:r>
      <w:r>
        <w:rPr>
          <w:b/>
        </w:rPr>
        <w:t xml:space="preserve"> </w:t>
        <w:r>
          <w:rPr/>
          <w:t xml:space="preserve">S3007.1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Gildon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33,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A violation of this section while present on the grounds of a K-12 common school or any early learning facility is a class C felony punishable according to chapter 9A.20 RCW.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(8) A violation of this section while present on the grounds of a K-12 common school or any early learning facility is a class C felony punishable according to chapter 9A.20 RCW.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22,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A violation of this section while present on the grounds of a K-12 common school or any early learning facility is a class C felony punishable according to chapter 9A.20 RCW.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39,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A violation of this section while present on the grounds of a K-12 common school or any early learning facility is a class C felony punishable according to chapter 9A.20 RCW.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possession of controlled substances, counterfeit substances, and legend drugs on school grounds and daycares a Class C Felony.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8d2035b8d42b8" /></Relationships>
</file>