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c95be8cd145e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SEFZ</w:t>
        </w:r>
      </w:r>
      <w:r>
        <w:rPr>
          <w:b/>
        </w:rPr>
        <w:t xml:space="preserve"> </w:t>
        <w:r>
          <w:rPr/>
          <w:t xml:space="preserve">S4094.1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5428</w:t>
      </w:r>
      <w:r>
        <w:t xml:space="preserve"> -</w:t>
      </w:r>
      <w:r>
        <w:t xml:space="preserve"> </w:t>
        <w:t xml:space="preserve">S AMD TO S AMD (S-3667.2/22)</w:t>
      </w:r>
      <w:r>
        <w:t xml:space="preserve"> </w:t>
      </w:r>
      <w:r>
        <w:rPr>
          <w:b/>
        </w:rPr>
        <w:t xml:space="preserve">981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Sefzik</w:t>
      </w:r>
    </w:p>
    <w:p>
      <w:pPr>
        <w:jc w:val="right"/>
      </w:pPr>
      <w:r>
        <w:rPr>
          <w:b/>
        </w:rPr>
        <w:t xml:space="preserve">ADOPTED 02/08/2022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31, after "facility;"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4, after "jurisdiction"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The local jurisdiction must require and make available employment, mental health, and drug counseling services at the facility"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requirement that the local jurisdiction require and make available employment, mental health, and drug counseling services at the facility for it to qualify for a SEPA exemption.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868f4b20b47d2" /></Relationships>
</file>