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911492d14dd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5333-S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KEIS</w:t>
        </w:r>
      </w:r>
      <w:r>
        <w:rPr>
          <w:b/>
        </w:rPr>
        <w:t xml:space="preserve"> </w:t>
        <w:r>
          <w:rPr/>
          <w:t xml:space="preserve">S1644.1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5333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Keiser</w:t>
      </w:r>
    </w:p>
    <w:p>
      <w:pPr>
        <w:jc w:val="right"/>
      </w:pPr>
      <w:r>
        <w:rPr>
          <w:b/>
        </w:rPr>
        <w:t xml:space="preserve">PULLED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9, after "</w:t>
      </w:r>
      <w:r>
        <w:rPr>
          <w:u w:val="single"/>
        </w:rPr>
        <w:t xml:space="preserve">(iii)</w:t>
      </w:r>
      <w:r>
        <w:rPr/>
        <w:t xml:space="preserve">" insert "</w:t>
      </w:r>
      <w:r>
        <w:rPr>
          <w:u w:val="single"/>
        </w:rPr>
        <w:t xml:space="preserve">The total amount of damages and equitable adjustments paid by a state agency or municipality pursuant to this subsection (1)(b) may not exceed $5,000,000.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total amount paid by a state agency or municipality under the bill to five million dollars.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23874674c4e89" /></Relationships>
</file>