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85ba19250449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5287-S2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S1770.1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5287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ADOPTED 03/02/2021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38, after "</w:t>
      </w:r>
      <w:r>
        <w:rPr>
          <w:u w:val="single"/>
        </w:rPr>
        <w:t xml:space="preserve">December 31,</w:t>
      </w:r>
      <w:r>
        <w:rPr/>
        <w:t xml:space="preserve">" strike "</w:t>
      </w:r>
      <w:r>
        <w:rPr>
          <w:u w:val="single"/>
        </w:rPr>
        <w:t xml:space="preserve">2024</w:t>
      </w:r>
      <w:r>
        <w:rPr/>
        <w:t xml:space="preserve">" and insert "</w:t>
      </w:r>
      <w:r>
        <w:rPr>
          <w:u w:val="single"/>
        </w:rPr>
        <w:t xml:space="preserve">2031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39, after "</w:t>
      </w:r>
      <w:r>
        <w:rPr>
          <w:u w:val="single"/>
        </w:rPr>
        <w:t xml:space="preserve">84.14.020(1)(a)(iii)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 and insert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Extends the expiration date for any city to use the 12-year MFTE or the 20-year permanent affordable homeownership program from December 31, 2024, to December 31, 2031. Clarifies that until December 31, 2031, any city may use the MFTE if it complies with either a specific 12-year MFTE program or a specific 20-year permanent affordable homeownership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264d1f2ca4d92" /></Relationships>
</file>