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5b38207904e9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DARN</w:t>
        </w:r>
      </w:r>
      <w:r>
        <w:rPr>
          <w:b/>
        </w:rPr>
        <w:t xml:space="preserve"> </w:t>
        <w:r>
          <w:rPr/>
          <w:t xml:space="preserve">S1745.2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436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Darneille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"by" strike "problem sexual behaviors" and insert "sexual offenses"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</w:t>
      </w:r>
      <w:r>
        <w:rPr>
          <w:u w:val="single"/>
        </w:rPr>
        <w:t xml:space="preserve">juvenile</w:t>
      </w:r>
      <w:r>
        <w:rPr/>
        <w:t xml:space="preserve">" insert "</w:t>
      </w:r>
      <w:r>
        <w:rPr>
          <w:u w:val="single"/>
        </w:rPr>
        <w:t xml:space="preserve">residing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6, after "</w:t>
      </w:r>
      <w:r>
        <w:rPr>
          <w:u w:val="single"/>
        </w:rPr>
        <w:t xml:space="preserve">Is</w:t>
      </w:r>
      <w:r>
        <w:rPr/>
        <w:t xml:space="preserve">" strike all material through "</w:t>
      </w:r>
      <w:r>
        <w:rPr>
          <w:u w:val="single"/>
        </w:rPr>
        <w:t xml:space="preserve">13.04.030(1)(e)(v)</w:t>
      </w:r>
      <w:r>
        <w:rPr/>
        <w:t xml:space="preserve">" on line 7 and insert "</w:t>
      </w:r>
      <w:r>
        <w:rPr>
          <w:u w:val="single"/>
        </w:rPr>
        <w:t xml:space="preserve">prosecuted in adult court pursuant to RCW 13.04.030(1)(e)(v) and convicted of a sex offense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8, after "</w:t>
      </w:r>
      <w:r>
        <w:rPr>
          <w:u w:val="single"/>
        </w:rPr>
        <w:t xml:space="preserve">federal</w:t>
      </w:r>
      <w:r>
        <w:rPr/>
        <w:t xml:space="preserve">" insert "</w:t>
      </w:r>
      <w:r>
        <w:rPr>
          <w:u w:val="single"/>
        </w:rPr>
        <w:t xml:space="preserve">sex or kidnapping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25, after "federal" insert "sex or kidnapping"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28, after "By" strike all material through "shall" on line 29 and insert "July 1, 2022, each registering agency shall conduct an individual review 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34, after "By" strike "August 1, 2021, the Washington state patrol" and insert "July 1, 2022, each registering agency"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Replaces "problem sexual behaviors" with "sexual offenses;" clarifies requirement for individuals under the age of 18 to register if the individual: (A) resides in Washington state and does not attend a school or is not employed, (B) is prosecuted in adult court pursuant to autodecline and convicted of a sex offense, and (C) has an out-of-state, tribal, or federal sex or kidnapping conviction; and changes references to Washington association of sheriffs and police chiefs and Washington state patrol with "each registering agency."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e17018d104a8d" /></Relationships>
</file>