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c878d0515499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5065-S2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WARN</w:t>
        </w:r>
      </w:r>
      <w:r>
        <w:rPr>
          <w:b/>
        </w:rPr>
        <w:t xml:space="preserve"> </w:t>
        <w:r>
          <w:rPr/>
          <w:t xml:space="preserve">S4603.1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5065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1128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20, after line 6,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28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 17 of this act takes effect only when the federal government does not provide railroad employees with 12 workweeks of leave during any 12-month period."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2SSB 5065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1128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"RCW;" strike the remainder of the title and insert "prescribing penalties; and providing a contingent effective date."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section 17 of the act does not take effect if the federal government provides railroad employees with 12 workweeks of leave during any 12-month period.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5f88dcf8f484f" /></Relationships>
</file>