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91b0b82d2487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5065-S2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S4595.1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after line 6,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28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9 of this act takes effect only when the federal government does not provide railroad employees with 12 workweeks of leave during any 12-month period."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5065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"RCW;" strike the remainder of the title and insert "prescribing penalties; and providing a contingent effective date."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section 9 of the act does not take effect if the federal government provides railroad employees with 12 workweeks of leave during any 12-month period.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34798fe9b4a34" /></Relationships>
</file>