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199f20449464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5065-S2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S4607.1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after line 6,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28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24 of this act takes effect only when the federal government does not provide railroad employees with 12 workweeks of leave during any 12-month period."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5065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"RCW;" strike the remainder of the title and insert "prescribing penalties; and providing a contingent effective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section 24 of the act does not take effect if the federal government provides railroad employees with 12 workweeks of leave during any 12-month period.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073e2fb6a4f1c" /></Relationships>
</file>