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7d23bb6a94c7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S1463.1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33, after "</w:t>
      </w:r>
      <w:r>
        <w:rPr>
          <w:u w:val="single"/>
        </w:rPr>
        <w:t xml:space="preserve">based on</w:t>
      </w:r>
      <w:r>
        <w:rPr/>
        <w:t xml:space="preserve">" strike "</w:t>
      </w:r>
      <w:r>
        <w:rPr>
          <w:u w:val="single"/>
        </w:rPr>
        <w:t xml:space="preserve">a preponderance of the</w:t>
      </w:r>
      <w:r>
        <w:rPr/>
        <w:t xml:space="preserve">" and insert "</w:t>
      </w:r>
      <w:r>
        <w:rPr>
          <w:u w:val="single"/>
        </w:rPr>
        <w:t xml:space="preserve">clear, cogent, and convincing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beginning on line 17, after "commission is" strike all material through "</w:t>
      </w:r>
      <w:r>
        <w:rPr>
          <w:u w:val="single"/>
        </w:rPr>
        <w:t xml:space="preserve">preponderance of the</w:t>
      </w:r>
      <w:r>
        <w:rPr/>
        <w:t xml:space="preserve">" on line 18 and insert "clear, cogent, and convincing"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clear, cogent, and convincing evidence in an administrative hearing to determine whether an officer's certification should be denied or revoked.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3231d15c54510" /></Relationships>
</file>