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d6d0c0857433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5044-S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S0632.1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5044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01/27/2021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29, after "</w:t>
      </w:r>
      <w:r>
        <w:rPr>
          <w:u w:val="single"/>
        </w:rPr>
        <w:t xml:space="preserve">sexualities,</w:t>
      </w:r>
      <w:r>
        <w:rPr/>
        <w:t xml:space="preserve">" strike "</w:t>
      </w:r>
      <w:r>
        <w:rPr>
          <w:u w:val="single"/>
        </w:rPr>
        <w:t xml:space="preserve">and genders</w:t>
      </w:r>
      <w:r>
        <w:rPr/>
        <w:t xml:space="preserve">" and insert "</w:t>
      </w:r>
      <w:r>
        <w:rPr>
          <w:u w:val="single"/>
        </w:rPr>
        <w:t xml:space="preserve">genders, and rural and underserved populations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21, after "contexts," insert "</w:t>
      </w:r>
      <w:r>
        <w:rPr>
          <w:u w:val="single"/>
        </w:rPr>
        <w:t xml:space="preserve">including rural and underserved communities,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Adds that the training programs identified for equity, diversity, antiracism, and inclusion must consider rural and underserved populations.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Adds rural and underserved communities when acknowledging student cultural histories and contexts within the definition of "cultural competency."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85820cf54db9" /></Relationships>
</file>